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October 2024 </w:t>
      </w:r>
    </w:p>
    <w:p w:rsidR="00000000" w:rsidDel="00000000" w:rsidP="00000000" w:rsidRDefault="00000000" w:rsidRPr="00000000" w14:paraId="00000002">
      <w:pPr>
        <w:rPr>
          <w:rFonts w:ascii="Calibri" w:cs="Calibri" w:eastAsia="Calibri" w:hAnsi="Calibri"/>
          <w:b w:val="1"/>
        </w:rPr>
      </w:pPr>
      <w:r w:rsidDel="00000000" w:rsidR="00000000" w:rsidRPr="00000000">
        <w:rPr>
          <w:rFonts w:ascii="Calibri" w:cs="Calibri" w:eastAsia="Calibri" w:hAnsi="Calibri"/>
          <w:b w:val="1"/>
          <w:rtl w:val="0"/>
        </w:rPr>
        <w:t xml:space="preserve">Mambu Boilerplate</w:t>
      </w:r>
    </w:p>
    <w:p w:rsidR="00000000" w:rsidDel="00000000" w:rsidP="00000000" w:rsidRDefault="00000000" w:rsidRPr="00000000" w14:paraId="00000003">
      <w:pPr>
        <w:spacing w:line="240" w:lineRule="auto"/>
        <w:rPr>
          <w:rFonts w:ascii="Calibri" w:cs="Calibri" w:eastAsia="Calibri" w:hAnsi="Calibri"/>
        </w:rPr>
      </w:pPr>
      <w:r w:rsidDel="00000000" w:rsidR="00000000" w:rsidRPr="00000000">
        <w:rPr>
          <w:rFonts w:ascii="Calibri" w:cs="Calibri" w:eastAsia="Calibri" w:hAnsi="Calibri"/>
          <w:rtl w:val="0"/>
        </w:rPr>
        <w:t xml:space="preserve">Mambu is the world’s only true SaaS cloud banking platform. Launched in 2011, Mambu fast-tracks the design and build of nearly any type of financial offering for banks of all sizes, lenders, fintechs, retailers, telcos and more. Our unique composable approach means that independent components, systems and connectors can be assembled in any configuration to meet business needs and end user demands. Mambu supports more than 260 customers in over 65 countries - including Western Union, Commonwealth Bank of Australia, N26, BancoEstado, Raiffeisen Bank, ABN AMRO and Bank Islam. </w:t>
      </w:r>
      <w:hyperlink r:id="rId6">
        <w:r w:rsidDel="00000000" w:rsidR="00000000" w:rsidRPr="00000000">
          <w:rPr>
            <w:rFonts w:ascii="Calibri" w:cs="Calibri" w:eastAsia="Calibri" w:hAnsi="Calibri"/>
            <w:color w:val="1155cc"/>
            <w:u w:val="single"/>
            <w:rtl w:val="0"/>
          </w:rPr>
          <w:t xml:space="preserve">www.mambu.com</w:t>
        </w:r>
      </w:hyperlink>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5">
      <w:pPr>
        <w:shd w:fill="ffffff" w:val="clea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Numeral Boilerplate</w:t>
      </w:r>
      <w:r w:rsidDel="00000000" w:rsidR="00000000" w:rsidRPr="00000000">
        <w:rPr>
          <w:rtl w:val="0"/>
        </w:rPr>
      </w:r>
    </w:p>
    <w:p w:rsidR="00000000" w:rsidDel="00000000" w:rsidP="00000000" w:rsidRDefault="00000000" w:rsidRPr="00000000" w14:paraId="00000006">
      <w:pPr>
        <w:shd w:fill="ffffff" w:val="clear"/>
        <w:spacing w:line="276" w:lineRule="auto"/>
        <w:rPr>
          <w:rFonts w:ascii="Calibri" w:cs="Calibri" w:eastAsia="Calibri" w:hAnsi="Calibri"/>
          <w:b w:val="1"/>
        </w:rPr>
      </w:pPr>
      <w:r w:rsidDel="00000000" w:rsidR="00000000" w:rsidRPr="00000000">
        <w:rPr>
          <w:rFonts w:ascii="Calibri" w:cs="Calibri" w:eastAsia="Calibri" w:hAnsi="Calibri"/>
          <w:rtl w:val="0"/>
        </w:rPr>
        <w:t xml:space="preserve">Numeral is a payment technology provider that offers financial institutions a universal gateway to connect to partner banks and access schemes and a modern payments hub to automate payment processing. Numeral enables fintechs and banks to unlock growth by launching new products and expanding geographically faster, eliminating hidden payment complexity and making their payments future-proof and ever-compliant. Launched in 2021, Numeral provides the payment infrastructure for the most innovative European banks and fintechs like WorldFirst, Argentex and Alma and partners with Europe’s leading banks, including BNP Paribas, Barclays, BPCE, HSBC and LHV.</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mamb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