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F4" w:rsidRDefault="00B935F4" w:rsidP="00B935F4">
      <w:pPr>
        <w:rPr>
          <w:b/>
          <w:bCs/>
          <w:sz w:val="24"/>
          <w:szCs w:val="24"/>
        </w:rPr>
      </w:pPr>
      <w:bookmarkStart w:id="0" w:name="_GoBack"/>
      <w:bookmarkEnd w:id="0"/>
    </w:p>
    <w:p w:rsidR="00B935F4" w:rsidRDefault="00B935F4" w:rsidP="00B935F4"/>
    <w:p w:rsidR="00B935F4" w:rsidRDefault="00B935F4" w:rsidP="00B935F4">
      <w:pPr>
        <w:rPr>
          <w:sz w:val="32"/>
          <w:szCs w:val="32"/>
        </w:rPr>
      </w:pPr>
      <w:r>
        <w:rPr>
          <w:sz w:val="32"/>
          <w:szCs w:val="32"/>
        </w:rPr>
        <w:t>Table I</w:t>
      </w:r>
    </w:p>
    <w:p w:rsidR="00B935F4" w:rsidRDefault="00B935F4" w:rsidP="00B935F4">
      <w:pPr>
        <w:rPr>
          <w:sz w:val="32"/>
          <w:szCs w:val="32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983"/>
        <w:gridCol w:w="1517"/>
      </w:tblGrid>
      <w:tr w:rsidR="00B935F4" w:rsidTr="005D2CC2">
        <w:tc>
          <w:tcPr>
            <w:tcW w:w="2983" w:type="dxa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Characteristics</w:t>
            </w:r>
          </w:p>
        </w:tc>
        <w:tc>
          <w:tcPr>
            <w:tcW w:w="1517" w:type="dxa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 ( 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Uterine Fibroid location</w:t>
            </w:r>
          </w:p>
        </w:tc>
        <w:tc>
          <w:tcPr>
            <w:tcW w:w="1517" w:type="dxa"/>
            <w:shd w:val="clear" w:color="auto" w:fill="auto"/>
          </w:tcPr>
          <w:p w:rsidR="00B935F4" w:rsidRDefault="00B935F4" w:rsidP="005D2CC2">
            <w:pPr>
              <w:rPr>
                <w:sz w:val="32"/>
                <w:szCs w:val="32"/>
              </w:rPr>
            </w:pP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Intramural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106 (74.6%)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Subserosal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21 (14.8%)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Broad ligament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8 (5.7%)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Cervical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 (3.5%)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Submucosal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 (1.4%)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Main clinical presentation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Abnormal uterine fibroid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98 (69%)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Congestive dysmenorrhea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56 (39.4%)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 Infertility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70 (49.3%)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Associated risk factors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 Obesity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63 (44.4%)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 PCOS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45 (31.7%)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Nulliparous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 (2.2%)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Surgical management method 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Myomectomy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135 (95%)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Uterine artery embolization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B935F4" w:rsidRDefault="00B935F4" w:rsidP="005D2CC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 (2.8%)</w:t>
            </w:r>
          </w:p>
        </w:tc>
      </w:tr>
      <w:tr w:rsidR="00B935F4" w:rsidTr="005D2CC2">
        <w:tc>
          <w:tcPr>
            <w:tcW w:w="2983" w:type="dxa"/>
            <w:shd w:val="clear" w:color="auto" w:fill="auto"/>
          </w:tcPr>
          <w:p w:rsidR="00B935F4" w:rsidRPr="00BF0665" w:rsidRDefault="00B935F4" w:rsidP="005D2CC2">
            <w:r>
              <w:t>Total abdominal hysterectomy</w:t>
            </w:r>
          </w:p>
        </w:tc>
        <w:tc>
          <w:tcPr>
            <w:tcW w:w="1517" w:type="dxa"/>
            <w:shd w:val="clear" w:color="auto" w:fill="auto"/>
          </w:tcPr>
          <w:p w:rsidR="00B935F4" w:rsidRPr="00BF0665" w:rsidRDefault="00B935F4" w:rsidP="005D2CC2">
            <w:r>
              <w:t>3 (2.2%)</w:t>
            </w:r>
          </w:p>
        </w:tc>
      </w:tr>
    </w:tbl>
    <w:p w:rsidR="00B935F4" w:rsidRDefault="00B935F4" w:rsidP="00B935F4">
      <w:pPr>
        <w:rPr>
          <w:sz w:val="32"/>
          <w:szCs w:val="32"/>
        </w:rPr>
      </w:pPr>
    </w:p>
    <w:p w:rsidR="00B935F4" w:rsidRDefault="00B935F4" w:rsidP="00B935F4">
      <w:pPr>
        <w:rPr>
          <w:sz w:val="32"/>
          <w:szCs w:val="32"/>
        </w:rPr>
      </w:pPr>
    </w:p>
    <w:p w:rsidR="00B935F4" w:rsidRDefault="00B935F4" w:rsidP="00B935F4">
      <w:pPr>
        <w:rPr>
          <w:b/>
          <w:bCs/>
          <w:sz w:val="24"/>
          <w:szCs w:val="24"/>
        </w:rPr>
      </w:pPr>
    </w:p>
    <w:p w:rsidR="00A56253" w:rsidRDefault="00A56253"/>
    <w:sectPr w:rsidR="00A56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4"/>
    <w:rsid w:val="00A56253"/>
    <w:rsid w:val="00B935F4"/>
    <w:rsid w:val="00C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2FA2B-A70F-4C88-B095-59E4415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2021-01-20T16:36:00Z</dcterms:created>
  <dcterms:modified xsi:type="dcterms:W3CDTF">2021-01-20T16:36:00Z</dcterms:modified>
</cp:coreProperties>
</file>