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7DC8" w14:textId="743A1066" w:rsidR="00EE1346" w:rsidRPr="00000BB1" w:rsidRDefault="00D07199" w:rsidP="00D07199">
      <w:pPr>
        <w:rPr>
          <w:rFonts w:ascii="Arial" w:hAnsi="Arial" w:cs="Arial"/>
          <w:b/>
          <w:bCs/>
          <w:sz w:val="22"/>
          <w:szCs w:val="22"/>
          <w:lang w:val="en-US"/>
        </w:rPr>
      </w:pPr>
      <w:r w:rsidRPr="00000BB1">
        <w:rPr>
          <w:rFonts w:ascii="Arial" w:hAnsi="Arial" w:cs="Arial"/>
          <w:b/>
          <w:bCs/>
          <w:sz w:val="22"/>
          <w:szCs w:val="22"/>
          <w:lang w:val="en-US"/>
        </w:rPr>
        <w:t xml:space="preserve">GrainGrowers’ National Policy Group Meeting Update </w:t>
      </w:r>
    </w:p>
    <w:p w14:paraId="6E446C5A" w14:textId="06C38C62" w:rsidR="00D97091" w:rsidRPr="00000BB1" w:rsidRDefault="00ED4E31" w:rsidP="6DECAE44">
      <w:pPr>
        <w:rPr>
          <w:rFonts w:ascii="Arial" w:hAnsi="Arial" w:cs="Arial"/>
          <w:sz w:val="22"/>
          <w:szCs w:val="22"/>
          <w:lang w:val="en-US"/>
        </w:rPr>
      </w:pPr>
      <w:r w:rsidRPr="00000BB1">
        <w:rPr>
          <w:rFonts w:ascii="Arial" w:hAnsi="Arial" w:cs="Arial"/>
          <w:sz w:val="22"/>
          <w:szCs w:val="22"/>
          <w:lang w:val="en-US"/>
        </w:rPr>
        <w:t>16</w:t>
      </w:r>
      <w:r w:rsidR="00212DF7">
        <w:rPr>
          <w:rFonts w:ascii="Arial" w:hAnsi="Arial" w:cs="Arial"/>
          <w:sz w:val="22"/>
          <w:szCs w:val="22"/>
          <w:lang w:val="en-US"/>
        </w:rPr>
        <w:t xml:space="preserve"> </w:t>
      </w:r>
      <w:r w:rsidRPr="00000BB1">
        <w:rPr>
          <w:rFonts w:ascii="Arial" w:hAnsi="Arial" w:cs="Arial"/>
          <w:sz w:val="22"/>
          <w:szCs w:val="22"/>
          <w:lang w:val="en-US"/>
        </w:rPr>
        <w:t>and 22</w:t>
      </w:r>
      <w:r w:rsidR="007F6433">
        <w:rPr>
          <w:rFonts w:ascii="Arial" w:hAnsi="Arial" w:cs="Arial"/>
          <w:sz w:val="22"/>
          <w:szCs w:val="22"/>
          <w:lang w:val="en-US"/>
        </w:rPr>
        <w:t> </w:t>
      </w:r>
      <w:r w:rsidRPr="00000BB1">
        <w:rPr>
          <w:rFonts w:ascii="Arial" w:hAnsi="Arial" w:cs="Arial"/>
          <w:sz w:val="22"/>
          <w:szCs w:val="22"/>
          <w:lang w:val="en-US"/>
        </w:rPr>
        <w:t xml:space="preserve">September 2020 </w:t>
      </w:r>
    </w:p>
    <w:p w14:paraId="5407D2A8" w14:textId="4B2946FB" w:rsidR="00D07199" w:rsidRPr="00000BB1" w:rsidRDefault="00D07199" w:rsidP="00D07199">
      <w:pPr>
        <w:rPr>
          <w:rFonts w:ascii="Arial" w:hAnsi="Arial" w:cs="Arial"/>
          <w:sz w:val="22"/>
          <w:szCs w:val="22"/>
          <w:lang w:val="en-US"/>
        </w:rPr>
      </w:pPr>
    </w:p>
    <w:p w14:paraId="3F20EFAE" w14:textId="3A78FD15" w:rsidR="00DF5C2C" w:rsidRDefault="00D07199" w:rsidP="076C504A">
      <w:pPr>
        <w:rPr>
          <w:rFonts w:ascii="Arial" w:hAnsi="Arial" w:cs="Arial"/>
          <w:sz w:val="22"/>
          <w:szCs w:val="22"/>
          <w:lang w:val="en-US"/>
        </w:rPr>
      </w:pPr>
      <w:r w:rsidRPr="3366325C">
        <w:rPr>
          <w:rFonts w:ascii="Arial" w:hAnsi="Arial" w:cs="Arial"/>
          <w:sz w:val="22"/>
          <w:szCs w:val="22"/>
          <w:lang w:val="en-US"/>
        </w:rPr>
        <w:t xml:space="preserve">GrainGrowers’ </w:t>
      </w:r>
      <w:hyperlink r:id="rId11">
        <w:r w:rsidRPr="3366325C">
          <w:rPr>
            <w:rStyle w:val="Hyperlink"/>
            <w:rFonts w:ascii="Arial" w:hAnsi="Arial" w:cs="Arial"/>
            <w:sz w:val="22"/>
            <w:szCs w:val="22"/>
            <w:lang w:val="en-US"/>
          </w:rPr>
          <w:t>National Policy Group</w:t>
        </w:r>
      </w:hyperlink>
      <w:r w:rsidRPr="3366325C">
        <w:rPr>
          <w:rFonts w:ascii="Arial" w:hAnsi="Arial" w:cs="Arial"/>
          <w:sz w:val="22"/>
          <w:szCs w:val="22"/>
          <w:lang w:val="en-US"/>
        </w:rPr>
        <w:t xml:space="preserve"> </w:t>
      </w:r>
      <w:r w:rsidR="0012469E">
        <w:rPr>
          <w:rFonts w:ascii="Arial" w:hAnsi="Arial" w:cs="Arial"/>
          <w:sz w:val="22"/>
          <w:szCs w:val="22"/>
          <w:lang w:val="en-US"/>
        </w:rPr>
        <w:t xml:space="preserve">(NPG) </w:t>
      </w:r>
      <w:r w:rsidRPr="3366325C">
        <w:rPr>
          <w:rFonts w:ascii="Arial" w:hAnsi="Arial" w:cs="Arial"/>
          <w:sz w:val="22"/>
          <w:szCs w:val="22"/>
          <w:lang w:val="en-US"/>
        </w:rPr>
        <w:t xml:space="preserve">met via video conference on </w:t>
      </w:r>
      <w:r w:rsidR="00ED4E31" w:rsidRPr="3366325C">
        <w:rPr>
          <w:rFonts w:ascii="Arial" w:hAnsi="Arial" w:cs="Arial"/>
          <w:sz w:val="22"/>
          <w:szCs w:val="22"/>
          <w:lang w:val="en-US"/>
        </w:rPr>
        <w:t>16</w:t>
      </w:r>
      <w:r w:rsidR="00212DF7">
        <w:rPr>
          <w:rFonts w:ascii="Arial" w:hAnsi="Arial" w:cs="Arial"/>
          <w:sz w:val="22"/>
          <w:szCs w:val="22"/>
          <w:lang w:val="en-US"/>
        </w:rPr>
        <w:t xml:space="preserve"> </w:t>
      </w:r>
      <w:r w:rsidR="00ED4E31" w:rsidRPr="3366325C">
        <w:rPr>
          <w:rFonts w:ascii="Arial" w:hAnsi="Arial" w:cs="Arial"/>
          <w:sz w:val="22"/>
          <w:szCs w:val="22"/>
          <w:lang w:val="en-US"/>
        </w:rPr>
        <w:t>and 22</w:t>
      </w:r>
      <w:r w:rsidR="001313C6">
        <w:rPr>
          <w:rFonts w:ascii="Arial" w:hAnsi="Arial" w:cs="Arial"/>
          <w:sz w:val="22"/>
          <w:szCs w:val="22"/>
          <w:lang w:val="en-US"/>
        </w:rPr>
        <w:t> </w:t>
      </w:r>
      <w:r w:rsidR="00ED4E31" w:rsidRPr="3366325C">
        <w:rPr>
          <w:rFonts w:ascii="Arial" w:hAnsi="Arial" w:cs="Arial"/>
          <w:sz w:val="22"/>
          <w:szCs w:val="22"/>
          <w:lang w:val="en-US"/>
        </w:rPr>
        <w:t>September</w:t>
      </w:r>
      <w:r w:rsidRPr="3366325C">
        <w:rPr>
          <w:rFonts w:ascii="Arial" w:hAnsi="Arial" w:cs="Arial"/>
          <w:sz w:val="22"/>
          <w:szCs w:val="22"/>
          <w:lang w:val="en-US"/>
        </w:rPr>
        <w:t>.</w:t>
      </w:r>
      <w:r w:rsidR="00ED4E31" w:rsidRPr="3366325C">
        <w:rPr>
          <w:rFonts w:ascii="Arial" w:hAnsi="Arial" w:cs="Arial"/>
          <w:sz w:val="22"/>
          <w:szCs w:val="22"/>
          <w:lang w:val="en-US"/>
        </w:rPr>
        <w:t xml:space="preserve"> </w:t>
      </w:r>
      <w:r w:rsidR="00050285">
        <w:rPr>
          <w:rFonts w:ascii="Arial" w:hAnsi="Arial" w:cs="Arial"/>
          <w:sz w:val="22"/>
          <w:szCs w:val="22"/>
          <w:lang w:val="en-US"/>
        </w:rPr>
        <w:t xml:space="preserve">The </w:t>
      </w:r>
      <w:r w:rsidR="00DF5C2C" w:rsidRPr="3366325C">
        <w:rPr>
          <w:rFonts w:ascii="Arial" w:hAnsi="Arial" w:cs="Arial"/>
          <w:sz w:val="22"/>
          <w:szCs w:val="22"/>
          <w:lang w:val="en-US"/>
        </w:rPr>
        <w:t xml:space="preserve">NPG endorsed two new policy positions (Liquid Fuel and </w:t>
      </w:r>
      <w:r w:rsidR="2BBFD04A" w:rsidRPr="3366325C">
        <w:rPr>
          <w:rFonts w:ascii="Arial" w:hAnsi="Arial" w:cs="Arial"/>
          <w:sz w:val="22"/>
          <w:szCs w:val="22"/>
          <w:lang w:val="en-US"/>
        </w:rPr>
        <w:t xml:space="preserve">People and Capability </w:t>
      </w:r>
      <w:r w:rsidR="00DF5C2C" w:rsidRPr="3366325C">
        <w:rPr>
          <w:rFonts w:ascii="Arial" w:hAnsi="Arial" w:cs="Arial"/>
          <w:sz w:val="22"/>
          <w:szCs w:val="22"/>
          <w:lang w:val="en-US"/>
        </w:rPr>
        <w:t xml:space="preserve">Policies) </w:t>
      </w:r>
      <w:r w:rsidR="00050285">
        <w:rPr>
          <w:rFonts w:ascii="Arial" w:hAnsi="Arial" w:cs="Arial"/>
          <w:sz w:val="22"/>
          <w:szCs w:val="22"/>
          <w:lang w:val="en-US"/>
        </w:rPr>
        <w:t xml:space="preserve">and </w:t>
      </w:r>
      <w:r w:rsidR="00DF5C2C" w:rsidRPr="3366325C">
        <w:rPr>
          <w:rFonts w:ascii="Arial" w:hAnsi="Arial" w:cs="Arial"/>
          <w:sz w:val="22"/>
          <w:szCs w:val="22"/>
          <w:lang w:val="en-US"/>
        </w:rPr>
        <w:t>discuss</w:t>
      </w:r>
      <w:r w:rsidR="00050285">
        <w:rPr>
          <w:rFonts w:ascii="Arial" w:hAnsi="Arial" w:cs="Arial"/>
          <w:sz w:val="22"/>
          <w:szCs w:val="22"/>
          <w:lang w:val="en-US"/>
        </w:rPr>
        <w:t>ed</w:t>
      </w:r>
      <w:r w:rsidR="00DF5C2C" w:rsidRPr="3366325C">
        <w:rPr>
          <w:rFonts w:ascii="Arial" w:hAnsi="Arial" w:cs="Arial"/>
          <w:sz w:val="22"/>
          <w:szCs w:val="22"/>
          <w:lang w:val="en-US"/>
        </w:rPr>
        <w:t xml:space="preserve"> </w:t>
      </w:r>
      <w:r w:rsidR="00050285">
        <w:rPr>
          <w:rFonts w:ascii="Arial" w:hAnsi="Arial" w:cs="Arial"/>
          <w:sz w:val="22"/>
          <w:szCs w:val="22"/>
          <w:lang w:val="en-US"/>
        </w:rPr>
        <w:t xml:space="preserve">the </w:t>
      </w:r>
      <w:r w:rsidR="00DF5C2C" w:rsidRPr="3366325C">
        <w:rPr>
          <w:rFonts w:ascii="Arial" w:hAnsi="Arial" w:cs="Arial"/>
          <w:sz w:val="22"/>
          <w:szCs w:val="22"/>
          <w:lang w:val="en-US"/>
        </w:rPr>
        <w:t xml:space="preserve">GrainGrowers Carbon Calculator </w:t>
      </w:r>
      <w:r w:rsidR="00385D9C">
        <w:rPr>
          <w:rFonts w:ascii="Arial" w:hAnsi="Arial" w:cs="Arial"/>
          <w:sz w:val="22"/>
          <w:szCs w:val="22"/>
          <w:lang w:val="en-US"/>
        </w:rPr>
        <w:t>report</w:t>
      </w:r>
      <w:r w:rsidR="00385D9C" w:rsidRPr="3366325C">
        <w:rPr>
          <w:rFonts w:ascii="Arial" w:hAnsi="Arial" w:cs="Arial"/>
          <w:sz w:val="22"/>
          <w:szCs w:val="22"/>
          <w:lang w:val="en-US"/>
        </w:rPr>
        <w:t xml:space="preserve"> </w:t>
      </w:r>
      <w:r w:rsidR="00DF5C2C" w:rsidRPr="3366325C">
        <w:rPr>
          <w:rFonts w:ascii="Arial" w:hAnsi="Arial" w:cs="Arial"/>
          <w:sz w:val="22"/>
          <w:szCs w:val="22"/>
          <w:lang w:val="en-US"/>
        </w:rPr>
        <w:t>and advocacy efforts</w:t>
      </w:r>
      <w:r w:rsidR="00385D9C">
        <w:rPr>
          <w:rFonts w:ascii="Arial" w:hAnsi="Arial" w:cs="Arial"/>
          <w:sz w:val="22"/>
          <w:szCs w:val="22"/>
          <w:lang w:val="en-US"/>
        </w:rPr>
        <w:t xml:space="preserve"> on trade</w:t>
      </w:r>
      <w:r w:rsidR="00DF5C2C" w:rsidRPr="3366325C">
        <w:rPr>
          <w:rFonts w:ascii="Arial" w:hAnsi="Arial" w:cs="Arial"/>
          <w:sz w:val="22"/>
          <w:szCs w:val="22"/>
          <w:lang w:val="en-US"/>
        </w:rPr>
        <w:t xml:space="preserve">. </w:t>
      </w:r>
    </w:p>
    <w:p w14:paraId="77B2B855" w14:textId="77777777" w:rsidR="00ED4E31" w:rsidRPr="00000BB1" w:rsidRDefault="00ED4E31" w:rsidP="00D07199">
      <w:pPr>
        <w:rPr>
          <w:rFonts w:ascii="Arial" w:hAnsi="Arial" w:cs="Arial"/>
          <w:b/>
          <w:bCs/>
          <w:sz w:val="22"/>
          <w:szCs w:val="22"/>
          <w:lang w:val="en-US"/>
        </w:rPr>
      </w:pPr>
    </w:p>
    <w:p w14:paraId="49A5296F" w14:textId="23978A95" w:rsidR="00D07199" w:rsidRPr="00000BB1" w:rsidRDefault="00ED4E31" w:rsidP="00D07199">
      <w:pPr>
        <w:rPr>
          <w:rFonts w:ascii="Arial" w:hAnsi="Arial" w:cs="Arial"/>
          <w:b/>
          <w:bCs/>
          <w:sz w:val="22"/>
          <w:szCs w:val="22"/>
          <w:lang w:val="en-US"/>
        </w:rPr>
      </w:pPr>
      <w:r w:rsidRPr="00000BB1">
        <w:rPr>
          <w:rFonts w:ascii="Arial" w:hAnsi="Arial" w:cs="Arial"/>
          <w:b/>
          <w:bCs/>
          <w:sz w:val="22"/>
          <w:szCs w:val="22"/>
          <w:lang w:val="en-US"/>
        </w:rPr>
        <w:t xml:space="preserve">Carbon Calculators </w:t>
      </w:r>
    </w:p>
    <w:p w14:paraId="0C8A472B" w14:textId="3F6B93F9" w:rsidR="003A2394" w:rsidRDefault="00253298" w:rsidP="51C99CE3">
      <w:pPr>
        <w:spacing w:line="259" w:lineRule="auto"/>
        <w:rPr>
          <w:rFonts w:ascii="Arial" w:hAnsi="Arial" w:cs="Arial"/>
          <w:sz w:val="22"/>
          <w:szCs w:val="22"/>
        </w:rPr>
      </w:pPr>
      <w:r>
        <w:rPr>
          <w:rFonts w:ascii="Arial" w:hAnsi="Arial" w:cs="Arial"/>
          <w:sz w:val="22"/>
          <w:szCs w:val="22"/>
        </w:rPr>
        <w:t>There are many different approaches to d</w:t>
      </w:r>
      <w:r w:rsidRPr="3366325C">
        <w:rPr>
          <w:rFonts w:ascii="Arial" w:hAnsi="Arial" w:cs="Arial"/>
          <w:sz w:val="22"/>
          <w:szCs w:val="22"/>
        </w:rPr>
        <w:t>etermine</w:t>
      </w:r>
      <w:r w:rsidR="003A2394" w:rsidRPr="3366325C">
        <w:rPr>
          <w:rFonts w:ascii="Arial" w:hAnsi="Arial" w:cs="Arial"/>
          <w:sz w:val="22"/>
          <w:szCs w:val="22"/>
        </w:rPr>
        <w:t xml:space="preserve"> the greenhouse gas, or emissions </w:t>
      </w:r>
      <w:r w:rsidR="009759A8">
        <w:rPr>
          <w:rFonts w:ascii="Arial" w:hAnsi="Arial" w:cs="Arial"/>
          <w:sz w:val="22"/>
          <w:szCs w:val="22"/>
        </w:rPr>
        <w:t>on a farm</w:t>
      </w:r>
      <w:r>
        <w:rPr>
          <w:rFonts w:ascii="Arial" w:hAnsi="Arial" w:cs="Arial"/>
          <w:sz w:val="22"/>
          <w:szCs w:val="22"/>
        </w:rPr>
        <w:t xml:space="preserve"> </w:t>
      </w:r>
      <w:r w:rsidR="00176596">
        <w:rPr>
          <w:rFonts w:ascii="Arial" w:hAnsi="Arial" w:cs="Arial"/>
          <w:sz w:val="22"/>
          <w:szCs w:val="22"/>
        </w:rPr>
        <w:t xml:space="preserve">with varied </w:t>
      </w:r>
      <w:r w:rsidR="003A2394" w:rsidRPr="3366325C">
        <w:rPr>
          <w:rFonts w:ascii="Arial" w:hAnsi="Arial" w:cs="Arial"/>
          <w:sz w:val="22"/>
          <w:szCs w:val="22"/>
        </w:rPr>
        <w:t xml:space="preserve">results depending on the application of </w:t>
      </w:r>
      <w:r w:rsidR="009759A8">
        <w:rPr>
          <w:rFonts w:ascii="Arial" w:hAnsi="Arial" w:cs="Arial"/>
          <w:sz w:val="22"/>
          <w:szCs w:val="22"/>
        </w:rPr>
        <w:t xml:space="preserve">farm-level </w:t>
      </w:r>
      <w:r w:rsidR="003A2394" w:rsidRPr="3366325C">
        <w:rPr>
          <w:rFonts w:ascii="Arial" w:hAnsi="Arial" w:cs="Arial"/>
          <w:sz w:val="22"/>
          <w:szCs w:val="22"/>
        </w:rPr>
        <w:t xml:space="preserve">information. GrainGrowers </w:t>
      </w:r>
      <w:r w:rsidR="00DF5C2C" w:rsidRPr="3366325C">
        <w:rPr>
          <w:rFonts w:ascii="Arial" w:hAnsi="Arial" w:cs="Arial"/>
          <w:sz w:val="22"/>
          <w:szCs w:val="22"/>
        </w:rPr>
        <w:t>has been advocating</w:t>
      </w:r>
      <w:r w:rsidR="003A2394" w:rsidRPr="3366325C">
        <w:rPr>
          <w:rFonts w:ascii="Arial" w:hAnsi="Arial" w:cs="Arial"/>
          <w:sz w:val="22"/>
          <w:szCs w:val="22"/>
        </w:rPr>
        <w:t xml:space="preserve"> </w:t>
      </w:r>
      <w:r w:rsidR="00510284">
        <w:rPr>
          <w:rFonts w:ascii="Arial" w:hAnsi="Arial" w:cs="Arial"/>
          <w:sz w:val="22"/>
          <w:szCs w:val="22"/>
        </w:rPr>
        <w:t xml:space="preserve">for a consistent </w:t>
      </w:r>
      <w:r w:rsidR="00FA00A0">
        <w:rPr>
          <w:rFonts w:ascii="Arial" w:hAnsi="Arial" w:cs="Arial"/>
          <w:sz w:val="22"/>
          <w:szCs w:val="22"/>
        </w:rPr>
        <w:t xml:space="preserve">approach to </w:t>
      </w:r>
      <w:r w:rsidR="00FA00A0" w:rsidRPr="3366325C">
        <w:rPr>
          <w:rFonts w:ascii="Arial" w:hAnsi="Arial" w:cs="Arial"/>
          <w:sz w:val="22"/>
          <w:szCs w:val="22"/>
        </w:rPr>
        <w:t>carbon accounting and measurement</w:t>
      </w:r>
      <w:r w:rsidR="00FA00A0">
        <w:rPr>
          <w:rFonts w:ascii="Arial" w:hAnsi="Arial" w:cs="Arial"/>
          <w:sz w:val="22"/>
          <w:szCs w:val="22"/>
        </w:rPr>
        <w:t xml:space="preserve"> </w:t>
      </w:r>
      <w:r w:rsidR="003A2394" w:rsidRPr="3366325C">
        <w:rPr>
          <w:rFonts w:ascii="Arial" w:hAnsi="Arial" w:cs="Arial"/>
          <w:sz w:val="22"/>
          <w:szCs w:val="22"/>
        </w:rPr>
        <w:t xml:space="preserve">through its </w:t>
      </w:r>
      <w:hyperlink r:id="rId12">
        <w:r w:rsidR="003A2394" w:rsidRPr="3366325C">
          <w:rPr>
            <w:rStyle w:val="Hyperlink"/>
            <w:rFonts w:ascii="Arial" w:hAnsi="Arial" w:cs="Arial"/>
            <w:sz w:val="22"/>
            <w:szCs w:val="22"/>
          </w:rPr>
          <w:t>Climate Change Policy</w:t>
        </w:r>
      </w:hyperlink>
      <w:r w:rsidR="003A2394" w:rsidRPr="3366325C">
        <w:rPr>
          <w:rFonts w:ascii="Arial" w:hAnsi="Arial" w:cs="Arial"/>
          <w:sz w:val="22"/>
          <w:szCs w:val="22"/>
        </w:rPr>
        <w:t>. Th</w:t>
      </w:r>
      <w:r w:rsidR="003E424A">
        <w:rPr>
          <w:rFonts w:ascii="Arial" w:hAnsi="Arial" w:cs="Arial"/>
          <w:sz w:val="22"/>
          <w:szCs w:val="22"/>
        </w:rPr>
        <w:t xml:space="preserve">is project, </w:t>
      </w:r>
      <w:r w:rsidR="003A2394" w:rsidRPr="3366325C">
        <w:rPr>
          <w:rFonts w:ascii="Arial" w:hAnsi="Arial" w:cs="Arial"/>
          <w:sz w:val="22"/>
          <w:szCs w:val="22"/>
        </w:rPr>
        <w:t>initiated by GrainGrowers with Kondinin Group</w:t>
      </w:r>
      <w:r w:rsidR="003E424A">
        <w:rPr>
          <w:rFonts w:ascii="Arial" w:hAnsi="Arial" w:cs="Arial"/>
          <w:sz w:val="22"/>
          <w:szCs w:val="22"/>
        </w:rPr>
        <w:t>,</w:t>
      </w:r>
      <w:r w:rsidR="003A2394" w:rsidRPr="3366325C">
        <w:rPr>
          <w:rFonts w:ascii="Arial" w:hAnsi="Arial" w:cs="Arial"/>
          <w:sz w:val="22"/>
          <w:szCs w:val="22"/>
        </w:rPr>
        <w:t xml:space="preserve"> </w:t>
      </w:r>
      <w:r w:rsidR="0012469E">
        <w:rPr>
          <w:rFonts w:ascii="Arial" w:hAnsi="Arial" w:cs="Arial"/>
          <w:sz w:val="22"/>
          <w:szCs w:val="22"/>
        </w:rPr>
        <w:t>outlines</w:t>
      </w:r>
      <w:r w:rsidR="003A2394" w:rsidRPr="3366325C">
        <w:rPr>
          <w:rFonts w:ascii="Arial" w:hAnsi="Arial" w:cs="Arial"/>
          <w:sz w:val="22"/>
          <w:szCs w:val="22"/>
        </w:rPr>
        <w:t xml:space="preserve"> the availability and functions of a range of greenhouse gas calculators. NPG members discussed the findings of the research which saw five </w:t>
      </w:r>
      <w:r w:rsidR="00000BB1" w:rsidRPr="3366325C">
        <w:rPr>
          <w:rFonts w:ascii="Arial" w:hAnsi="Arial" w:cs="Arial"/>
          <w:sz w:val="22"/>
          <w:szCs w:val="22"/>
        </w:rPr>
        <w:t>carbon</w:t>
      </w:r>
      <w:r w:rsidR="003A2394" w:rsidRPr="3366325C">
        <w:rPr>
          <w:rFonts w:ascii="Arial" w:hAnsi="Arial" w:cs="Arial"/>
          <w:sz w:val="22"/>
          <w:szCs w:val="22"/>
        </w:rPr>
        <w:t xml:space="preserve"> </w:t>
      </w:r>
      <w:r w:rsidR="00000BB1" w:rsidRPr="3366325C">
        <w:rPr>
          <w:rFonts w:ascii="Arial" w:hAnsi="Arial" w:cs="Arial"/>
          <w:sz w:val="22"/>
          <w:szCs w:val="22"/>
        </w:rPr>
        <w:t>calculators</w:t>
      </w:r>
      <w:r w:rsidR="003A2394" w:rsidRPr="3366325C">
        <w:rPr>
          <w:rFonts w:ascii="Arial" w:hAnsi="Arial" w:cs="Arial"/>
          <w:sz w:val="22"/>
          <w:szCs w:val="22"/>
        </w:rPr>
        <w:t xml:space="preserve"> compared and </w:t>
      </w:r>
      <w:r w:rsidR="00000BB1" w:rsidRPr="3366325C">
        <w:rPr>
          <w:rFonts w:ascii="Arial" w:hAnsi="Arial" w:cs="Arial"/>
          <w:sz w:val="22"/>
          <w:szCs w:val="22"/>
        </w:rPr>
        <w:t xml:space="preserve">assessed on their features, usability, and accuracy. </w:t>
      </w:r>
      <w:r w:rsidR="37F46EAC" w:rsidRPr="3366325C">
        <w:rPr>
          <w:rFonts w:ascii="Arial" w:hAnsi="Arial" w:cs="Arial"/>
          <w:sz w:val="22"/>
          <w:szCs w:val="22"/>
        </w:rPr>
        <w:t>The research</w:t>
      </w:r>
      <w:r w:rsidR="10DDAB43" w:rsidRPr="3366325C">
        <w:rPr>
          <w:rFonts w:ascii="Arial" w:hAnsi="Arial" w:cs="Arial"/>
          <w:sz w:val="22"/>
          <w:szCs w:val="22"/>
        </w:rPr>
        <w:t xml:space="preserve"> report </w:t>
      </w:r>
      <w:r w:rsidR="5BEDFAAF" w:rsidRPr="3366325C">
        <w:rPr>
          <w:rFonts w:ascii="Arial" w:eastAsia="Arial" w:hAnsi="Arial" w:cs="Arial"/>
          <w:i/>
          <w:iCs/>
          <w:sz w:val="22"/>
          <w:szCs w:val="22"/>
        </w:rPr>
        <w:t>Carbon Calculators</w:t>
      </w:r>
      <w:r w:rsidR="00DA0271">
        <w:rPr>
          <w:rFonts w:ascii="Arial" w:eastAsia="Arial" w:hAnsi="Arial" w:cs="Arial"/>
          <w:i/>
          <w:iCs/>
          <w:sz w:val="22"/>
          <w:szCs w:val="22"/>
        </w:rPr>
        <w:t xml:space="preserve"> compared for Australia Grain</w:t>
      </w:r>
      <w:r w:rsidR="004A6CA5">
        <w:rPr>
          <w:rFonts w:ascii="Arial" w:eastAsia="Arial" w:hAnsi="Arial" w:cs="Arial"/>
          <w:i/>
          <w:iCs/>
          <w:sz w:val="22"/>
          <w:szCs w:val="22"/>
        </w:rPr>
        <w:t xml:space="preserve"> Growers</w:t>
      </w:r>
      <w:r w:rsidR="5BEDFAAF" w:rsidRPr="3366325C">
        <w:rPr>
          <w:rFonts w:ascii="Arial" w:eastAsia="Arial" w:hAnsi="Arial" w:cs="Arial"/>
          <w:i/>
          <w:iCs/>
          <w:sz w:val="22"/>
          <w:szCs w:val="22"/>
        </w:rPr>
        <w:t xml:space="preserve"> </w:t>
      </w:r>
      <w:r w:rsidR="37F46EAC" w:rsidRPr="3366325C">
        <w:rPr>
          <w:rFonts w:ascii="Arial" w:hAnsi="Arial" w:cs="Arial"/>
          <w:sz w:val="22"/>
          <w:szCs w:val="22"/>
        </w:rPr>
        <w:t xml:space="preserve">is available </w:t>
      </w:r>
      <w:hyperlink r:id="rId13" w:history="1">
        <w:r w:rsidR="00BA47C2" w:rsidRPr="00BA47C2">
          <w:rPr>
            <w:rStyle w:val="Hyperlink"/>
            <w:rFonts w:ascii="Arial" w:hAnsi="Arial" w:cs="Arial"/>
            <w:sz w:val="22"/>
            <w:szCs w:val="22"/>
          </w:rPr>
          <w:t>here</w:t>
        </w:r>
      </w:hyperlink>
      <w:r w:rsidR="00BA47C2">
        <w:rPr>
          <w:rFonts w:ascii="Arial" w:hAnsi="Arial" w:cs="Arial"/>
          <w:sz w:val="22"/>
          <w:szCs w:val="22"/>
        </w:rPr>
        <w:t>.</w:t>
      </w:r>
    </w:p>
    <w:p w14:paraId="595CF50C" w14:textId="25E5F996" w:rsidR="00D07199" w:rsidRPr="00000BB1" w:rsidRDefault="0028000E" w:rsidP="6986F10C">
      <w:pPr>
        <w:rPr>
          <w:rFonts w:ascii="Arial" w:hAnsi="Arial" w:cs="Arial"/>
          <w:sz w:val="22"/>
          <w:szCs w:val="22"/>
          <w:lang w:val="en-US"/>
        </w:rPr>
      </w:pPr>
      <w:r w:rsidRPr="00000BB1">
        <w:rPr>
          <w:rFonts w:ascii="Arial" w:hAnsi="Arial" w:cs="Arial"/>
          <w:sz w:val="22"/>
          <w:szCs w:val="22"/>
          <w:lang w:val="en-US"/>
        </w:rPr>
        <w:t xml:space="preserve"> </w:t>
      </w:r>
    </w:p>
    <w:p w14:paraId="35381B0D" w14:textId="090458D8" w:rsidR="00D07199" w:rsidRPr="00000BB1" w:rsidRDefault="00ED4E31" w:rsidP="00D07199">
      <w:pPr>
        <w:rPr>
          <w:rFonts w:ascii="Arial" w:hAnsi="Arial" w:cs="Arial"/>
          <w:b/>
          <w:bCs/>
          <w:sz w:val="22"/>
          <w:szCs w:val="22"/>
          <w:lang w:val="en-US"/>
        </w:rPr>
      </w:pPr>
      <w:r w:rsidRPr="00000BB1">
        <w:rPr>
          <w:rFonts w:ascii="Arial" w:hAnsi="Arial" w:cs="Arial"/>
          <w:b/>
          <w:bCs/>
          <w:sz w:val="22"/>
          <w:szCs w:val="22"/>
          <w:lang w:val="en-US"/>
        </w:rPr>
        <w:t xml:space="preserve">Trade – China </w:t>
      </w:r>
    </w:p>
    <w:p w14:paraId="295A65E3" w14:textId="3CCCD25C" w:rsidR="00D07199" w:rsidRPr="00000BB1" w:rsidRDefault="00000BB1" w:rsidP="00D07199">
      <w:pPr>
        <w:rPr>
          <w:rFonts w:ascii="Arial" w:hAnsi="Arial" w:cs="Arial"/>
          <w:sz w:val="22"/>
          <w:szCs w:val="22"/>
          <w:lang w:val="en-US"/>
        </w:rPr>
      </w:pPr>
      <w:r>
        <w:rPr>
          <w:rFonts w:ascii="Arial" w:hAnsi="Arial" w:cs="Arial"/>
          <w:sz w:val="22"/>
          <w:szCs w:val="22"/>
          <w:lang w:val="en-US"/>
        </w:rPr>
        <w:t>The grains industry is impacted by a range of broad political issues that are outside its control, for example China</w:t>
      </w:r>
      <w:r w:rsidR="004A6CA5">
        <w:rPr>
          <w:rFonts w:ascii="Arial" w:hAnsi="Arial" w:cs="Arial"/>
          <w:sz w:val="22"/>
          <w:szCs w:val="22"/>
          <w:lang w:val="en-US"/>
        </w:rPr>
        <w:t xml:space="preserve"> has</w:t>
      </w:r>
      <w:r>
        <w:rPr>
          <w:rFonts w:ascii="Arial" w:hAnsi="Arial" w:cs="Arial"/>
          <w:sz w:val="22"/>
          <w:szCs w:val="22"/>
          <w:lang w:val="en-US"/>
        </w:rPr>
        <w:t xml:space="preserve"> impos</w:t>
      </w:r>
      <w:r w:rsidR="004A6CA5">
        <w:rPr>
          <w:rFonts w:ascii="Arial" w:hAnsi="Arial" w:cs="Arial"/>
          <w:sz w:val="22"/>
          <w:szCs w:val="22"/>
          <w:lang w:val="en-US"/>
        </w:rPr>
        <w:t>ed</w:t>
      </w:r>
      <w:r>
        <w:rPr>
          <w:rFonts w:ascii="Arial" w:hAnsi="Arial" w:cs="Arial"/>
          <w:sz w:val="22"/>
          <w:szCs w:val="22"/>
          <w:lang w:val="en-US"/>
        </w:rPr>
        <w:t xml:space="preserve"> 80.5% duties on </w:t>
      </w:r>
      <w:r w:rsidR="00A91A12">
        <w:rPr>
          <w:rFonts w:ascii="Arial" w:hAnsi="Arial" w:cs="Arial"/>
          <w:sz w:val="22"/>
          <w:szCs w:val="22"/>
          <w:lang w:val="en-US"/>
        </w:rPr>
        <w:t xml:space="preserve">imported </w:t>
      </w:r>
      <w:r w:rsidR="00F4240C">
        <w:rPr>
          <w:rFonts w:ascii="Arial" w:hAnsi="Arial" w:cs="Arial"/>
          <w:sz w:val="22"/>
          <w:szCs w:val="22"/>
          <w:lang w:val="en-US"/>
        </w:rPr>
        <w:t>b</w:t>
      </w:r>
      <w:r w:rsidR="00A91A12">
        <w:rPr>
          <w:rFonts w:ascii="Arial" w:hAnsi="Arial" w:cs="Arial"/>
          <w:sz w:val="22"/>
          <w:szCs w:val="22"/>
          <w:lang w:val="en-US"/>
        </w:rPr>
        <w:t xml:space="preserve">arley from Australia. </w:t>
      </w:r>
      <w:r w:rsidR="006D5089">
        <w:rPr>
          <w:rFonts w:ascii="Arial" w:hAnsi="Arial" w:cs="Arial"/>
          <w:sz w:val="22"/>
          <w:szCs w:val="22"/>
          <w:lang w:val="en-US"/>
        </w:rPr>
        <w:t>GrainGrowers and the Industry Working Group (</w:t>
      </w:r>
      <w:r w:rsidR="00DF5C2C">
        <w:rPr>
          <w:rFonts w:ascii="Arial" w:hAnsi="Arial" w:cs="Arial"/>
          <w:sz w:val="22"/>
          <w:szCs w:val="22"/>
          <w:lang w:val="en-US"/>
        </w:rPr>
        <w:t xml:space="preserve">consisting of </w:t>
      </w:r>
      <w:r w:rsidR="006D5089">
        <w:rPr>
          <w:rFonts w:ascii="Arial" w:hAnsi="Arial" w:cs="Arial"/>
          <w:sz w:val="22"/>
          <w:szCs w:val="22"/>
          <w:lang w:val="en-US"/>
        </w:rPr>
        <w:t>G</w:t>
      </w:r>
      <w:r w:rsidR="00F4240C">
        <w:rPr>
          <w:rFonts w:ascii="Arial" w:hAnsi="Arial" w:cs="Arial"/>
          <w:sz w:val="22"/>
          <w:szCs w:val="22"/>
          <w:lang w:val="en-US"/>
        </w:rPr>
        <w:t>rain Producers Australia</w:t>
      </w:r>
      <w:r w:rsidR="006D5089">
        <w:rPr>
          <w:rFonts w:ascii="Arial" w:hAnsi="Arial" w:cs="Arial"/>
          <w:sz w:val="22"/>
          <w:szCs w:val="22"/>
          <w:lang w:val="en-US"/>
        </w:rPr>
        <w:t>, G</w:t>
      </w:r>
      <w:r w:rsidR="00F4240C">
        <w:rPr>
          <w:rFonts w:ascii="Arial" w:hAnsi="Arial" w:cs="Arial"/>
          <w:sz w:val="22"/>
          <w:szCs w:val="22"/>
          <w:lang w:val="en-US"/>
        </w:rPr>
        <w:t>rain Trade Australia and</w:t>
      </w:r>
      <w:r w:rsidR="006D5089">
        <w:rPr>
          <w:rFonts w:ascii="Arial" w:hAnsi="Arial" w:cs="Arial"/>
          <w:sz w:val="22"/>
          <w:szCs w:val="22"/>
          <w:lang w:val="en-US"/>
        </w:rPr>
        <w:t xml:space="preserve"> A</w:t>
      </w:r>
      <w:r w:rsidR="00F4240C">
        <w:rPr>
          <w:rFonts w:ascii="Arial" w:hAnsi="Arial" w:cs="Arial"/>
          <w:sz w:val="22"/>
          <w:szCs w:val="22"/>
          <w:lang w:val="en-US"/>
        </w:rPr>
        <w:t>ustralian Grain Exporters Council)</w:t>
      </w:r>
      <w:r w:rsidR="006D5089">
        <w:rPr>
          <w:rFonts w:ascii="Arial" w:hAnsi="Arial" w:cs="Arial"/>
          <w:sz w:val="22"/>
          <w:szCs w:val="22"/>
          <w:lang w:val="en-US"/>
        </w:rPr>
        <w:t xml:space="preserve"> </w:t>
      </w:r>
      <w:r w:rsidR="00F4240C">
        <w:rPr>
          <w:rFonts w:ascii="Arial" w:hAnsi="Arial" w:cs="Arial"/>
          <w:sz w:val="22"/>
          <w:szCs w:val="22"/>
          <w:lang w:val="en-US"/>
        </w:rPr>
        <w:t xml:space="preserve">has developed a </w:t>
      </w:r>
      <w:r w:rsidR="006D5089">
        <w:rPr>
          <w:rFonts w:ascii="Arial" w:hAnsi="Arial" w:cs="Arial"/>
          <w:sz w:val="22"/>
          <w:szCs w:val="22"/>
          <w:lang w:val="en-US"/>
        </w:rPr>
        <w:t xml:space="preserve">policy request </w:t>
      </w:r>
      <w:r w:rsidR="00CE330D">
        <w:rPr>
          <w:rFonts w:ascii="Arial" w:hAnsi="Arial" w:cs="Arial"/>
          <w:sz w:val="22"/>
          <w:szCs w:val="22"/>
          <w:lang w:val="en-US"/>
        </w:rPr>
        <w:t xml:space="preserve">to </w:t>
      </w:r>
      <w:r w:rsidR="00F4240C">
        <w:rPr>
          <w:rFonts w:ascii="Arial" w:hAnsi="Arial" w:cs="Arial"/>
          <w:sz w:val="22"/>
          <w:szCs w:val="22"/>
          <w:lang w:val="en-US"/>
        </w:rPr>
        <w:t>the Australian G</w:t>
      </w:r>
      <w:r w:rsidR="00CE330D">
        <w:rPr>
          <w:rFonts w:ascii="Arial" w:hAnsi="Arial" w:cs="Arial"/>
          <w:sz w:val="22"/>
          <w:szCs w:val="22"/>
          <w:lang w:val="en-US"/>
        </w:rPr>
        <w:t xml:space="preserve">overnment </w:t>
      </w:r>
      <w:r w:rsidR="00E137A4">
        <w:rPr>
          <w:rFonts w:ascii="Arial" w:hAnsi="Arial" w:cs="Arial"/>
          <w:sz w:val="22"/>
          <w:szCs w:val="22"/>
          <w:lang w:val="en-US"/>
        </w:rPr>
        <w:t>calling for</w:t>
      </w:r>
      <w:r w:rsidR="00322016">
        <w:rPr>
          <w:rFonts w:ascii="Arial" w:hAnsi="Arial" w:cs="Arial"/>
          <w:sz w:val="22"/>
          <w:szCs w:val="22"/>
          <w:lang w:val="en-US"/>
        </w:rPr>
        <w:t xml:space="preserve"> the establishment of an </w:t>
      </w:r>
      <w:r w:rsidR="00A91A12">
        <w:rPr>
          <w:rFonts w:ascii="Arial" w:hAnsi="Arial" w:cs="Arial"/>
          <w:sz w:val="22"/>
          <w:szCs w:val="22"/>
          <w:lang w:val="en-US"/>
        </w:rPr>
        <w:t>Industry Recovery Fund</w:t>
      </w:r>
      <w:r w:rsidR="00E137A4">
        <w:rPr>
          <w:rFonts w:ascii="Arial" w:hAnsi="Arial" w:cs="Arial"/>
          <w:sz w:val="22"/>
          <w:szCs w:val="22"/>
          <w:lang w:val="en-US"/>
        </w:rPr>
        <w:t xml:space="preserve">, to help </w:t>
      </w:r>
      <w:r w:rsidR="008766A7">
        <w:rPr>
          <w:rFonts w:ascii="Arial" w:hAnsi="Arial" w:cs="Arial"/>
          <w:sz w:val="22"/>
          <w:szCs w:val="22"/>
          <w:lang w:val="en-US"/>
        </w:rPr>
        <w:t xml:space="preserve">the industry </w:t>
      </w:r>
      <w:r w:rsidR="00E137A4">
        <w:rPr>
          <w:rFonts w:ascii="Arial" w:hAnsi="Arial" w:cs="Arial"/>
          <w:sz w:val="22"/>
          <w:szCs w:val="22"/>
          <w:lang w:val="en-US"/>
        </w:rPr>
        <w:t xml:space="preserve">develop new markets and ensure </w:t>
      </w:r>
      <w:r w:rsidR="008766A7">
        <w:rPr>
          <w:rFonts w:ascii="Arial" w:hAnsi="Arial" w:cs="Arial"/>
          <w:sz w:val="22"/>
          <w:szCs w:val="22"/>
          <w:lang w:val="en-US"/>
        </w:rPr>
        <w:t>existing markets continue</w:t>
      </w:r>
      <w:r w:rsidR="00CE330D">
        <w:rPr>
          <w:rFonts w:ascii="Arial" w:hAnsi="Arial" w:cs="Arial"/>
          <w:sz w:val="22"/>
          <w:szCs w:val="22"/>
          <w:lang w:val="en-US"/>
        </w:rPr>
        <w:t xml:space="preserve">. To find out more on the Fund refer to </w:t>
      </w:r>
      <w:r w:rsidR="008766A7">
        <w:rPr>
          <w:rFonts w:ascii="Arial" w:hAnsi="Arial" w:cs="Arial"/>
          <w:sz w:val="22"/>
          <w:szCs w:val="22"/>
          <w:lang w:val="en-US"/>
        </w:rPr>
        <w:t>GrainGrowers</w:t>
      </w:r>
      <w:r w:rsidR="00CE330D">
        <w:rPr>
          <w:rFonts w:ascii="Arial" w:hAnsi="Arial" w:cs="Arial"/>
          <w:sz w:val="22"/>
          <w:szCs w:val="22"/>
          <w:lang w:val="en-US"/>
        </w:rPr>
        <w:t xml:space="preserve">’ </w:t>
      </w:r>
      <w:hyperlink r:id="rId14" w:history="1">
        <w:r w:rsidR="00CE330D" w:rsidRPr="00CE330D">
          <w:rPr>
            <w:rStyle w:val="Hyperlink"/>
            <w:rFonts w:ascii="Arial" w:hAnsi="Arial" w:cs="Arial"/>
            <w:sz w:val="22"/>
            <w:szCs w:val="22"/>
            <w:lang w:val="en-US"/>
          </w:rPr>
          <w:t xml:space="preserve">Pre-Budget Submission. </w:t>
        </w:r>
      </w:hyperlink>
    </w:p>
    <w:p w14:paraId="5D922062" w14:textId="77777777" w:rsidR="00000BB1" w:rsidRPr="00000BB1" w:rsidRDefault="00000BB1" w:rsidP="00D07199">
      <w:pPr>
        <w:rPr>
          <w:rFonts w:ascii="Arial" w:hAnsi="Arial" w:cs="Arial"/>
          <w:sz w:val="22"/>
          <w:szCs w:val="22"/>
          <w:lang w:val="en-US"/>
        </w:rPr>
      </w:pPr>
    </w:p>
    <w:p w14:paraId="0BD7EA8A" w14:textId="77777777" w:rsidR="00000BB1" w:rsidRPr="00000BB1" w:rsidRDefault="00000BB1" w:rsidP="00000BB1">
      <w:pPr>
        <w:rPr>
          <w:rFonts w:ascii="Arial" w:hAnsi="Arial" w:cs="Arial"/>
          <w:b/>
          <w:bCs/>
          <w:sz w:val="22"/>
          <w:szCs w:val="22"/>
          <w:lang w:val="en-US"/>
        </w:rPr>
      </w:pPr>
      <w:r w:rsidRPr="00000BB1">
        <w:rPr>
          <w:rFonts w:ascii="Arial" w:hAnsi="Arial" w:cs="Arial"/>
          <w:b/>
          <w:bCs/>
          <w:sz w:val="22"/>
          <w:szCs w:val="22"/>
          <w:lang w:val="en-US"/>
        </w:rPr>
        <w:t xml:space="preserve">Biosecurity </w:t>
      </w:r>
    </w:p>
    <w:p w14:paraId="754D5897" w14:textId="18AEE40C" w:rsidR="00000BB1" w:rsidRDefault="00000BB1" w:rsidP="00000BB1">
      <w:pPr>
        <w:rPr>
          <w:rFonts w:ascii="Arial" w:hAnsi="Arial" w:cs="Arial"/>
          <w:sz w:val="22"/>
          <w:szCs w:val="22"/>
          <w:lang w:val="en-US"/>
        </w:rPr>
      </w:pPr>
      <w:r w:rsidRPr="00000BB1">
        <w:rPr>
          <w:rFonts w:ascii="Arial" w:hAnsi="Arial" w:cs="Arial"/>
          <w:sz w:val="22"/>
          <w:szCs w:val="22"/>
          <w:lang w:val="en-US"/>
        </w:rPr>
        <w:t>The NPG was joined by a senior representative from the Department of Agriculture, Water and Environment</w:t>
      </w:r>
      <w:r w:rsidR="006C6626">
        <w:rPr>
          <w:rFonts w:ascii="Arial" w:hAnsi="Arial" w:cs="Arial"/>
          <w:sz w:val="22"/>
          <w:szCs w:val="22"/>
          <w:lang w:val="en-US"/>
        </w:rPr>
        <w:t xml:space="preserve"> (DAWE)</w:t>
      </w:r>
      <w:r w:rsidRPr="00000BB1">
        <w:rPr>
          <w:rFonts w:ascii="Arial" w:hAnsi="Arial" w:cs="Arial"/>
          <w:sz w:val="22"/>
          <w:szCs w:val="22"/>
          <w:lang w:val="en-US"/>
        </w:rPr>
        <w:t xml:space="preserve"> to discuss Australia’s biosecurity surveillance measures</w:t>
      </w:r>
      <w:r w:rsidR="000108B0">
        <w:rPr>
          <w:rFonts w:ascii="Arial" w:hAnsi="Arial" w:cs="Arial"/>
          <w:sz w:val="22"/>
          <w:szCs w:val="22"/>
          <w:lang w:val="en-US"/>
        </w:rPr>
        <w:t xml:space="preserve">, </w:t>
      </w:r>
      <w:r w:rsidR="006C6626">
        <w:rPr>
          <w:rFonts w:ascii="Arial" w:hAnsi="Arial" w:cs="Arial"/>
          <w:sz w:val="22"/>
          <w:szCs w:val="22"/>
          <w:lang w:val="en-US"/>
        </w:rPr>
        <w:t xml:space="preserve">what is changing in Australia’s biosecurity environment and how </w:t>
      </w:r>
      <w:r w:rsidR="000108B0">
        <w:rPr>
          <w:rFonts w:ascii="Arial" w:hAnsi="Arial" w:cs="Arial"/>
          <w:sz w:val="22"/>
          <w:szCs w:val="22"/>
          <w:lang w:val="en-US"/>
        </w:rPr>
        <w:t xml:space="preserve">we ensure we </w:t>
      </w:r>
      <w:r w:rsidR="0028586C">
        <w:rPr>
          <w:rFonts w:ascii="Arial" w:hAnsi="Arial" w:cs="Arial"/>
          <w:sz w:val="22"/>
          <w:szCs w:val="22"/>
          <w:lang w:val="en-US"/>
        </w:rPr>
        <w:t>continue to keep high risk plant pests at bay.</w:t>
      </w:r>
    </w:p>
    <w:p w14:paraId="1D172082" w14:textId="77777777" w:rsidR="00000BB1" w:rsidRPr="00000BB1" w:rsidRDefault="00000BB1" w:rsidP="00000BB1">
      <w:pPr>
        <w:rPr>
          <w:rFonts w:ascii="Arial" w:hAnsi="Arial" w:cs="Arial"/>
          <w:sz w:val="22"/>
          <w:szCs w:val="22"/>
          <w:lang w:val="en-US"/>
        </w:rPr>
      </w:pPr>
    </w:p>
    <w:p w14:paraId="7DAF0B40" w14:textId="6FB80469" w:rsidR="00D07199" w:rsidRPr="00000BB1" w:rsidRDefault="00ED4E31" w:rsidP="00D07199">
      <w:pPr>
        <w:rPr>
          <w:rFonts w:ascii="Arial" w:hAnsi="Arial" w:cs="Arial"/>
          <w:b/>
          <w:bCs/>
          <w:sz w:val="22"/>
          <w:szCs w:val="22"/>
          <w:lang w:val="en-US"/>
        </w:rPr>
      </w:pPr>
      <w:r w:rsidRPr="00000BB1">
        <w:rPr>
          <w:rFonts w:ascii="Arial" w:hAnsi="Arial" w:cs="Arial"/>
          <w:b/>
          <w:bCs/>
          <w:sz w:val="22"/>
          <w:szCs w:val="22"/>
          <w:lang w:val="en-US"/>
        </w:rPr>
        <w:t xml:space="preserve">GrainGrowers’ Liquid Fuel Policy Position </w:t>
      </w:r>
    </w:p>
    <w:p w14:paraId="5D9DD09C" w14:textId="399FADDA" w:rsidR="00CE330D" w:rsidRDefault="00127F01" w:rsidP="076C504A">
      <w:pPr>
        <w:rPr>
          <w:rFonts w:ascii="Arial" w:hAnsi="Arial" w:cs="Arial"/>
          <w:sz w:val="22"/>
          <w:szCs w:val="22"/>
          <w:lang w:val="en-US"/>
        </w:rPr>
      </w:pPr>
      <w:r w:rsidRPr="00000BB1">
        <w:rPr>
          <w:rFonts w:ascii="Arial" w:hAnsi="Arial" w:cs="Arial"/>
          <w:sz w:val="22"/>
          <w:szCs w:val="22"/>
          <w:lang w:val="en-US"/>
        </w:rPr>
        <w:t>Liquid fuel underpins much of the agriculture and grain supply chains with 84% of energy use on farm coming from diesel.</w:t>
      </w:r>
      <w:r w:rsidR="00CE330D">
        <w:rPr>
          <w:rFonts w:ascii="Arial" w:hAnsi="Arial" w:cs="Arial"/>
          <w:sz w:val="22"/>
          <w:szCs w:val="22"/>
          <w:lang w:val="en-US"/>
        </w:rPr>
        <w:t xml:space="preserve"> The NPG has endorsed GrainGrowers’ Liquid Fuel Policy Position </w:t>
      </w:r>
      <w:r w:rsidR="0028586C">
        <w:rPr>
          <w:rFonts w:ascii="Arial" w:hAnsi="Arial" w:cs="Arial"/>
          <w:sz w:val="22"/>
          <w:szCs w:val="22"/>
          <w:lang w:val="en-US"/>
        </w:rPr>
        <w:t xml:space="preserve">which </w:t>
      </w:r>
      <w:r w:rsidR="00CE330D">
        <w:rPr>
          <w:rFonts w:ascii="Arial" w:hAnsi="Arial" w:cs="Arial"/>
          <w:sz w:val="22"/>
          <w:szCs w:val="22"/>
          <w:lang w:val="en-US"/>
        </w:rPr>
        <w:t>seeks to ensure the Australian grains industry</w:t>
      </w:r>
      <w:r w:rsidR="00C93E76">
        <w:rPr>
          <w:rFonts w:ascii="Arial" w:hAnsi="Arial" w:cs="Arial"/>
          <w:sz w:val="22"/>
          <w:szCs w:val="22"/>
          <w:lang w:val="en-US"/>
        </w:rPr>
        <w:t>’s</w:t>
      </w:r>
      <w:r w:rsidR="00CE330D">
        <w:rPr>
          <w:rFonts w:ascii="Arial" w:hAnsi="Arial" w:cs="Arial"/>
          <w:sz w:val="22"/>
          <w:szCs w:val="22"/>
          <w:lang w:val="en-US"/>
        </w:rPr>
        <w:t xml:space="preserve"> exposure and reliance upon liquid fuels is managed effectively. The policy seeks:</w:t>
      </w:r>
    </w:p>
    <w:p w14:paraId="6D11017E" w14:textId="1D18956B" w:rsidR="00CE330D" w:rsidRDefault="00CE330D" w:rsidP="00CE330D">
      <w:pPr>
        <w:pStyle w:val="Default"/>
        <w:numPr>
          <w:ilvl w:val="0"/>
          <w:numId w:val="15"/>
        </w:numPr>
        <w:spacing w:after="37"/>
        <w:rPr>
          <w:sz w:val="22"/>
          <w:szCs w:val="22"/>
        </w:rPr>
      </w:pPr>
      <w:proofErr w:type="spellStart"/>
      <w:r w:rsidRPr="3366325C">
        <w:rPr>
          <w:sz w:val="22"/>
          <w:szCs w:val="22"/>
        </w:rPr>
        <w:t>An</w:t>
      </w:r>
      <w:r w:rsidR="00C93E76">
        <w:rPr>
          <w:sz w:val="22"/>
          <w:szCs w:val="22"/>
        </w:rPr>
        <w:t>i</w:t>
      </w:r>
      <w:r w:rsidRPr="3366325C">
        <w:rPr>
          <w:sz w:val="22"/>
          <w:szCs w:val="22"/>
        </w:rPr>
        <w:t>ndependent</w:t>
      </w:r>
      <w:proofErr w:type="spellEnd"/>
      <w:r w:rsidRPr="3366325C">
        <w:rPr>
          <w:sz w:val="22"/>
          <w:szCs w:val="22"/>
        </w:rPr>
        <w:t xml:space="preserve"> review to investigate acceptable emergency levels held domestically and how to adhere to International Energy Agency (IEA) requirements (such as the</w:t>
      </w:r>
      <w:r w:rsidR="0028586C">
        <w:rPr>
          <w:sz w:val="22"/>
          <w:szCs w:val="22"/>
        </w:rPr>
        <w:t xml:space="preserve"> </w:t>
      </w:r>
      <w:r w:rsidRPr="3366325C">
        <w:rPr>
          <w:sz w:val="22"/>
          <w:szCs w:val="22"/>
        </w:rPr>
        <w:t>90-day supplies standards) and implement most effective approach to achieving these levels.</w:t>
      </w:r>
    </w:p>
    <w:p w14:paraId="40733BFB" w14:textId="65E922B9" w:rsidR="00CE330D" w:rsidRDefault="00CE330D" w:rsidP="00CE330D">
      <w:pPr>
        <w:pStyle w:val="Default"/>
        <w:numPr>
          <w:ilvl w:val="0"/>
          <w:numId w:val="15"/>
        </w:numPr>
        <w:spacing w:after="37"/>
        <w:rPr>
          <w:sz w:val="22"/>
          <w:szCs w:val="22"/>
        </w:rPr>
      </w:pPr>
      <w:r w:rsidRPr="3366325C">
        <w:rPr>
          <w:sz w:val="22"/>
          <w:szCs w:val="22"/>
        </w:rPr>
        <w:t xml:space="preserve">Amendment to the </w:t>
      </w:r>
      <w:r w:rsidRPr="3366325C">
        <w:rPr>
          <w:i/>
          <w:iCs/>
          <w:sz w:val="22"/>
          <w:szCs w:val="22"/>
        </w:rPr>
        <w:t xml:space="preserve">Liquid Fuel Emergency Act 1984 </w:t>
      </w:r>
      <w:r w:rsidRPr="3366325C">
        <w:rPr>
          <w:sz w:val="22"/>
          <w:szCs w:val="22"/>
        </w:rPr>
        <w:t>and state and territories associating Acts and Guidelines to include farm businesses / agricultural services to be classified as essential services to preserving the health, safety, and general wellbeing of community.</w:t>
      </w:r>
    </w:p>
    <w:p w14:paraId="1FD0D3BE" w14:textId="78F0B5D2" w:rsidR="00CE330D" w:rsidRDefault="00CE330D" w:rsidP="00CE330D">
      <w:pPr>
        <w:pStyle w:val="Default"/>
        <w:numPr>
          <w:ilvl w:val="0"/>
          <w:numId w:val="15"/>
        </w:numPr>
        <w:spacing w:after="37"/>
        <w:rPr>
          <w:sz w:val="22"/>
          <w:szCs w:val="22"/>
        </w:rPr>
      </w:pPr>
      <w:r w:rsidRPr="3366325C">
        <w:rPr>
          <w:sz w:val="22"/>
          <w:szCs w:val="22"/>
        </w:rPr>
        <w:lastRenderedPageBreak/>
        <w:t>A consistent, two yearly review of the National Energy Security Assessment, to identify risks associated with the system and design appropriate measures that consider the agricultural sector and its supply chains, to minimise risks quickly.</w:t>
      </w:r>
    </w:p>
    <w:p w14:paraId="2957E569" w14:textId="66387D88" w:rsidR="00CE330D" w:rsidRDefault="00C93E76" w:rsidP="00CE330D">
      <w:pPr>
        <w:pStyle w:val="Default"/>
        <w:numPr>
          <w:ilvl w:val="0"/>
          <w:numId w:val="15"/>
        </w:numPr>
        <w:spacing w:after="37"/>
        <w:rPr>
          <w:sz w:val="22"/>
          <w:szCs w:val="22"/>
        </w:rPr>
      </w:pPr>
      <w:r>
        <w:rPr>
          <w:sz w:val="22"/>
          <w:szCs w:val="22"/>
        </w:rPr>
        <w:t xml:space="preserve">A </w:t>
      </w:r>
      <w:proofErr w:type="gramStart"/>
      <w:r>
        <w:rPr>
          <w:sz w:val="22"/>
          <w:szCs w:val="22"/>
        </w:rPr>
        <w:t>c</w:t>
      </w:r>
      <w:r w:rsidR="00CE330D" w:rsidRPr="3366325C">
        <w:rPr>
          <w:sz w:val="22"/>
          <w:szCs w:val="22"/>
        </w:rPr>
        <w:t>omprehensive  national</w:t>
      </w:r>
      <w:proofErr w:type="gramEnd"/>
      <w:r w:rsidR="00CE330D" w:rsidRPr="3366325C">
        <w:rPr>
          <w:sz w:val="22"/>
          <w:szCs w:val="22"/>
        </w:rPr>
        <w:t xml:space="preserve"> alternative fuel framework from Government that observes sources such as biofuels where appropriate and where doing so does not contradict other GrainGrowers</w:t>
      </w:r>
      <w:r>
        <w:rPr>
          <w:sz w:val="22"/>
          <w:szCs w:val="22"/>
        </w:rPr>
        <w:t>’</w:t>
      </w:r>
      <w:r w:rsidR="00CE330D" w:rsidRPr="3366325C">
        <w:rPr>
          <w:sz w:val="22"/>
          <w:szCs w:val="22"/>
        </w:rPr>
        <w:t xml:space="preserve"> policy objectives.</w:t>
      </w:r>
    </w:p>
    <w:p w14:paraId="2C08A844" w14:textId="07150B66" w:rsidR="00CE330D" w:rsidRDefault="00CE330D" w:rsidP="00CE330D">
      <w:pPr>
        <w:pStyle w:val="Default"/>
        <w:numPr>
          <w:ilvl w:val="0"/>
          <w:numId w:val="15"/>
        </w:numPr>
        <w:rPr>
          <w:sz w:val="22"/>
          <w:szCs w:val="22"/>
        </w:rPr>
      </w:pPr>
      <w:r w:rsidRPr="3366325C">
        <w:rPr>
          <w:sz w:val="22"/>
          <w:szCs w:val="22"/>
        </w:rPr>
        <w:t xml:space="preserve">Detailed analysis of the costs, benefits, and timelines for redirection of currently exported Australian crude oil to be refined domestically in times of crises. </w:t>
      </w:r>
    </w:p>
    <w:p w14:paraId="52A14BEA" w14:textId="77777777" w:rsidR="00CE330D" w:rsidRPr="00CE330D" w:rsidRDefault="00CE330D" w:rsidP="00CE330D">
      <w:pPr>
        <w:rPr>
          <w:rFonts w:ascii="Arial" w:hAnsi="Arial" w:cs="Arial"/>
          <w:lang w:val="en-US"/>
        </w:rPr>
      </w:pPr>
    </w:p>
    <w:p w14:paraId="6F693738" w14:textId="2034AD3D" w:rsidR="00DF5C2C" w:rsidRDefault="00DF5C2C" w:rsidP="00DF5C2C">
      <w:pPr>
        <w:rPr>
          <w:rFonts w:ascii="Arial" w:hAnsi="Arial" w:cs="Arial"/>
          <w:sz w:val="22"/>
          <w:szCs w:val="22"/>
          <w:lang w:val="en-US"/>
        </w:rPr>
      </w:pPr>
      <w:r w:rsidRPr="00DF5C2C">
        <w:rPr>
          <w:rFonts w:ascii="Arial" w:hAnsi="Arial" w:cs="Arial"/>
          <w:sz w:val="22"/>
          <w:szCs w:val="22"/>
          <w:lang w:val="en-US"/>
        </w:rPr>
        <w:t xml:space="preserve">GrainGrowers’ new </w:t>
      </w:r>
      <w:r>
        <w:rPr>
          <w:rFonts w:ascii="Arial" w:hAnsi="Arial" w:cs="Arial"/>
          <w:sz w:val="22"/>
          <w:szCs w:val="22"/>
          <w:lang w:val="en-US"/>
        </w:rPr>
        <w:t xml:space="preserve">Liquid Fuel </w:t>
      </w:r>
      <w:r w:rsidR="00C93E76">
        <w:rPr>
          <w:rFonts w:ascii="Arial" w:hAnsi="Arial" w:cs="Arial"/>
          <w:sz w:val="22"/>
          <w:szCs w:val="22"/>
          <w:lang w:val="en-US"/>
        </w:rPr>
        <w:t>P</w:t>
      </w:r>
      <w:r w:rsidRPr="00DF5C2C">
        <w:rPr>
          <w:rFonts w:ascii="Arial" w:hAnsi="Arial" w:cs="Arial"/>
          <w:sz w:val="22"/>
          <w:szCs w:val="22"/>
          <w:lang w:val="en-US"/>
        </w:rPr>
        <w:t xml:space="preserve">olicy will be released shortly, along with targeted advocacy to </w:t>
      </w:r>
      <w:r w:rsidR="00471B73">
        <w:rPr>
          <w:rFonts w:ascii="Arial" w:hAnsi="Arial" w:cs="Arial"/>
          <w:sz w:val="22"/>
          <w:szCs w:val="22"/>
          <w:lang w:val="en-US"/>
        </w:rPr>
        <w:t>g</w:t>
      </w:r>
      <w:r w:rsidRPr="00DF5C2C">
        <w:rPr>
          <w:rFonts w:ascii="Arial" w:hAnsi="Arial" w:cs="Arial"/>
          <w:sz w:val="22"/>
          <w:szCs w:val="22"/>
          <w:lang w:val="en-US"/>
        </w:rPr>
        <w:t>overnment and industry stakeholders.</w:t>
      </w:r>
    </w:p>
    <w:p w14:paraId="0DB32095" w14:textId="2F9D60D6" w:rsidR="00D07199" w:rsidRPr="00000BB1" w:rsidRDefault="00D07199" w:rsidP="00D07199">
      <w:pPr>
        <w:rPr>
          <w:rFonts w:ascii="Arial" w:hAnsi="Arial" w:cs="Arial"/>
          <w:sz w:val="22"/>
          <w:szCs w:val="22"/>
          <w:lang w:val="en-US"/>
        </w:rPr>
      </w:pPr>
    </w:p>
    <w:p w14:paraId="558DBE68" w14:textId="33AE68D1" w:rsidR="00ED4E31" w:rsidRPr="00000BB1" w:rsidRDefault="00ED4E31" w:rsidP="00ED4E31">
      <w:pPr>
        <w:rPr>
          <w:rFonts w:ascii="Arial" w:hAnsi="Arial" w:cs="Arial"/>
          <w:b/>
          <w:bCs/>
          <w:sz w:val="22"/>
          <w:szCs w:val="22"/>
          <w:lang w:val="en-US"/>
        </w:rPr>
      </w:pPr>
      <w:r w:rsidRPr="00000BB1">
        <w:rPr>
          <w:rFonts w:ascii="Arial" w:hAnsi="Arial" w:cs="Arial"/>
          <w:b/>
          <w:bCs/>
          <w:sz w:val="22"/>
          <w:szCs w:val="22"/>
          <w:lang w:val="en-US"/>
        </w:rPr>
        <w:t xml:space="preserve">GrainGrowers’ People and Capability Policy Position </w:t>
      </w:r>
    </w:p>
    <w:p w14:paraId="4398BCBF" w14:textId="1FE6C70B" w:rsidR="00ED4E31" w:rsidRDefault="00CE330D" w:rsidP="00D07199">
      <w:pPr>
        <w:rPr>
          <w:rFonts w:ascii="Arial" w:hAnsi="Arial" w:cs="Arial"/>
          <w:sz w:val="22"/>
          <w:szCs w:val="22"/>
          <w:lang w:val="en-US"/>
        </w:rPr>
      </w:pPr>
      <w:r w:rsidRPr="3366325C">
        <w:rPr>
          <w:rFonts w:ascii="Arial" w:hAnsi="Arial" w:cs="Arial"/>
          <w:sz w:val="22"/>
          <w:szCs w:val="22"/>
          <w:lang w:val="en-US"/>
        </w:rPr>
        <w:t>People and capability are critically important to farm businesses</w:t>
      </w:r>
      <w:r w:rsidR="26F278C0" w:rsidRPr="3366325C">
        <w:rPr>
          <w:rFonts w:ascii="Arial" w:hAnsi="Arial" w:cs="Arial"/>
          <w:sz w:val="22"/>
          <w:szCs w:val="22"/>
          <w:lang w:val="en-US"/>
        </w:rPr>
        <w:t>,</w:t>
      </w:r>
      <w:r w:rsidRPr="3366325C">
        <w:rPr>
          <w:rFonts w:ascii="Arial" w:hAnsi="Arial" w:cs="Arial"/>
          <w:sz w:val="22"/>
          <w:szCs w:val="22"/>
          <w:lang w:val="en-US"/>
        </w:rPr>
        <w:t xml:space="preserve"> the broader agriculture </w:t>
      </w:r>
      <w:proofErr w:type="gramStart"/>
      <w:r w:rsidRPr="3366325C">
        <w:rPr>
          <w:rFonts w:ascii="Arial" w:hAnsi="Arial" w:cs="Arial"/>
          <w:sz w:val="22"/>
          <w:szCs w:val="22"/>
          <w:lang w:val="en-US"/>
        </w:rPr>
        <w:t>sector</w:t>
      </w:r>
      <w:proofErr w:type="gramEnd"/>
      <w:r w:rsidRPr="3366325C">
        <w:rPr>
          <w:rFonts w:ascii="Arial" w:hAnsi="Arial" w:cs="Arial"/>
          <w:sz w:val="22"/>
          <w:szCs w:val="22"/>
          <w:lang w:val="en-US"/>
        </w:rPr>
        <w:t xml:space="preserve"> and</w:t>
      </w:r>
      <w:r w:rsidR="28DA0474" w:rsidRPr="3366325C">
        <w:rPr>
          <w:rFonts w:ascii="Arial" w:hAnsi="Arial" w:cs="Arial"/>
          <w:sz w:val="22"/>
          <w:szCs w:val="22"/>
          <w:lang w:val="en-US"/>
        </w:rPr>
        <w:t xml:space="preserve"> the</w:t>
      </w:r>
      <w:r w:rsidRPr="3366325C">
        <w:rPr>
          <w:rFonts w:ascii="Arial" w:hAnsi="Arial" w:cs="Arial"/>
          <w:sz w:val="22"/>
          <w:szCs w:val="22"/>
          <w:lang w:val="en-US"/>
        </w:rPr>
        <w:t xml:space="preserve"> economy. The NPG endorsed GrainGrowers’ </w:t>
      </w:r>
      <w:r w:rsidR="3FE1EAA2" w:rsidRPr="3366325C">
        <w:rPr>
          <w:rFonts w:ascii="Arial" w:hAnsi="Arial" w:cs="Arial"/>
          <w:sz w:val="22"/>
          <w:szCs w:val="22"/>
          <w:lang w:val="en-US"/>
        </w:rPr>
        <w:t xml:space="preserve">new </w:t>
      </w:r>
      <w:r w:rsidRPr="3366325C">
        <w:rPr>
          <w:rFonts w:ascii="Arial" w:hAnsi="Arial" w:cs="Arial"/>
          <w:sz w:val="22"/>
          <w:szCs w:val="22"/>
          <w:lang w:val="en-US"/>
        </w:rPr>
        <w:t xml:space="preserve">People and Capability </w:t>
      </w:r>
      <w:r w:rsidR="00C93E76">
        <w:rPr>
          <w:rFonts w:ascii="Arial" w:hAnsi="Arial" w:cs="Arial"/>
          <w:sz w:val="22"/>
          <w:szCs w:val="22"/>
          <w:lang w:val="en-US"/>
        </w:rPr>
        <w:t>P</w:t>
      </w:r>
      <w:r w:rsidR="00C93E76" w:rsidRPr="3366325C">
        <w:rPr>
          <w:rFonts w:ascii="Arial" w:hAnsi="Arial" w:cs="Arial"/>
          <w:sz w:val="22"/>
          <w:szCs w:val="22"/>
          <w:lang w:val="en-US"/>
        </w:rPr>
        <w:t xml:space="preserve">olicy </w:t>
      </w:r>
      <w:r w:rsidRPr="3366325C">
        <w:rPr>
          <w:rFonts w:ascii="Arial" w:hAnsi="Arial" w:cs="Arial"/>
          <w:sz w:val="22"/>
          <w:szCs w:val="22"/>
          <w:lang w:val="en-US"/>
        </w:rPr>
        <w:t>principles:</w:t>
      </w:r>
    </w:p>
    <w:p w14:paraId="62639D88" w14:textId="0BB3226A" w:rsidR="00CE330D" w:rsidRPr="00CE330D" w:rsidRDefault="00CE330D" w:rsidP="00CE330D">
      <w:pPr>
        <w:pStyle w:val="ListParagraph"/>
        <w:numPr>
          <w:ilvl w:val="0"/>
          <w:numId w:val="16"/>
        </w:numPr>
        <w:rPr>
          <w:rFonts w:ascii="Arial" w:hAnsi="Arial" w:cs="Arial"/>
          <w:lang w:val="en-US"/>
        </w:rPr>
      </w:pPr>
      <w:r w:rsidRPr="3366325C">
        <w:rPr>
          <w:rFonts w:ascii="Arial" w:hAnsi="Arial" w:cs="Arial"/>
          <w:b/>
          <w:bCs/>
          <w:lang w:val="en-US"/>
        </w:rPr>
        <w:t xml:space="preserve">Shared responsibility. </w:t>
      </w:r>
      <w:r w:rsidRPr="3366325C">
        <w:rPr>
          <w:rFonts w:ascii="Arial" w:hAnsi="Arial" w:cs="Arial"/>
          <w:lang w:val="en-US"/>
        </w:rPr>
        <w:t>The agricultural sector’s people and capability is a shared responsibility between growers, governments, industry, post-farm gate supply chain, service providers, academia and the education and training sector.</w:t>
      </w:r>
    </w:p>
    <w:p w14:paraId="229F4419" w14:textId="1F2F2E4E" w:rsidR="00CE330D" w:rsidRPr="00CE330D" w:rsidRDefault="00CE330D" w:rsidP="00CE330D">
      <w:pPr>
        <w:pStyle w:val="ListParagraph"/>
        <w:numPr>
          <w:ilvl w:val="0"/>
          <w:numId w:val="16"/>
        </w:numPr>
        <w:rPr>
          <w:rFonts w:ascii="Arial" w:hAnsi="Arial" w:cs="Arial"/>
          <w:lang w:val="en-US"/>
        </w:rPr>
      </w:pPr>
      <w:r w:rsidRPr="3366325C">
        <w:rPr>
          <w:rFonts w:ascii="Arial" w:hAnsi="Arial" w:cs="Arial"/>
          <w:b/>
          <w:bCs/>
          <w:lang w:val="en-US"/>
        </w:rPr>
        <w:t>Employer of choice.</w:t>
      </w:r>
      <w:r w:rsidRPr="3366325C">
        <w:rPr>
          <w:rFonts w:ascii="Arial" w:hAnsi="Arial" w:cs="Arial"/>
          <w:lang w:val="en-US"/>
        </w:rPr>
        <w:t xml:space="preserve"> Attraction and retention of people in the grains sector requires businesses to establish a strong reputation as an employer of choice and implement advanced practices associated with people and capability, including career pathways and progression.</w:t>
      </w:r>
    </w:p>
    <w:p w14:paraId="5E1B469D" w14:textId="736EA837" w:rsidR="00F947E9" w:rsidRPr="007E5FF6" w:rsidRDefault="001979A6" w:rsidP="00CE330D">
      <w:pPr>
        <w:pStyle w:val="ListParagraph"/>
        <w:numPr>
          <w:ilvl w:val="0"/>
          <w:numId w:val="16"/>
        </w:numPr>
        <w:rPr>
          <w:rFonts w:ascii="Arial" w:hAnsi="Arial" w:cs="Arial"/>
          <w:b/>
          <w:bCs/>
          <w:lang w:val="en-US"/>
        </w:rPr>
      </w:pPr>
      <w:r>
        <w:rPr>
          <w:rFonts w:ascii="Arial" w:hAnsi="Arial" w:cs="Arial"/>
          <w:b/>
          <w:bCs/>
          <w:lang w:val="en-US"/>
        </w:rPr>
        <w:t xml:space="preserve">Migration </w:t>
      </w:r>
      <w:r w:rsidR="00C93E76">
        <w:rPr>
          <w:rFonts w:ascii="Arial" w:hAnsi="Arial" w:cs="Arial"/>
          <w:b/>
          <w:bCs/>
          <w:lang w:val="en-US"/>
        </w:rPr>
        <w:t>Policy</w:t>
      </w:r>
      <w:r>
        <w:rPr>
          <w:rFonts w:ascii="Arial" w:hAnsi="Arial" w:cs="Arial"/>
          <w:b/>
          <w:bCs/>
          <w:lang w:val="en-US"/>
        </w:rPr>
        <w:t>, s</w:t>
      </w:r>
      <w:r w:rsidR="00F947E9" w:rsidRPr="007E5FF6">
        <w:rPr>
          <w:rFonts w:ascii="Arial" w:hAnsi="Arial" w:cs="Arial"/>
          <w:b/>
          <w:bCs/>
          <w:lang w:val="en-US"/>
        </w:rPr>
        <w:t xml:space="preserve">trong </w:t>
      </w:r>
      <w:proofErr w:type="gramStart"/>
      <w:r w:rsidR="00F947E9" w:rsidRPr="007E5FF6">
        <w:rPr>
          <w:rFonts w:ascii="Arial" w:hAnsi="Arial" w:cs="Arial"/>
          <w:b/>
          <w:bCs/>
          <w:lang w:val="en-US"/>
        </w:rPr>
        <w:t>communities</w:t>
      </w:r>
      <w:proofErr w:type="gramEnd"/>
      <w:r>
        <w:rPr>
          <w:rFonts w:ascii="Arial" w:hAnsi="Arial" w:cs="Arial"/>
          <w:b/>
          <w:bCs/>
          <w:lang w:val="en-US"/>
        </w:rPr>
        <w:t xml:space="preserve"> and </w:t>
      </w:r>
      <w:r w:rsidR="00F947E9" w:rsidRPr="007E5FF6">
        <w:rPr>
          <w:rFonts w:ascii="Arial" w:hAnsi="Arial" w:cs="Arial"/>
          <w:b/>
          <w:bCs/>
          <w:lang w:val="en-US"/>
        </w:rPr>
        <w:t xml:space="preserve">regional growth. </w:t>
      </w:r>
      <w:r w:rsidR="00F947E9" w:rsidRPr="007E5FF6">
        <w:rPr>
          <w:rFonts w:ascii="Arial" w:hAnsi="Arial" w:cs="Arial"/>
          <w:lang w:val="en-US"/>
        </w:rPr>
        <w:t>Community is the heart of regional Australia. To meet ever-evolving needs, growers and regional business require access local and transient skilled talent pools to fill diverse casual, temporary and full-time positions. Attracting and retaining this talent requires sound migration policy and investment in regional development to support community growth and garner enduring benefits for regional Australia.</w:t>
      </w:r>
    </w:p>
    <w:p w14:paraId="63B7D18E" w14:textId="5A95EDBE" w:rsidR="00CE330D" w:rsidRPr="00CE330D" w:rsidRDefault="00CE330D" w:rsidP="00CE330D">
      <w:pPr>
        <w:pStyle w:val="ListParagraph"/>
        <w:numPr>
          <w:ilvl w:val="0"/>
          <w:numId w:val="16"/>
        </w:numPr>
        <w:rPr>
          <w:rFonts w:ascii="Arial" w:hAnsi="Arial" w:cs="Arial"/>
          <w:lang w:val="en-US"/>
        </w:rPr>
      </w:pPr>
      <w:r w:rsidRPr="3366325C">
        <w:rPr>
          <w:rFonts w:ascii="Arial" w:hAnsi="Arial" w:cs="Arial"/>
          <w:b/>
          <w:bCs/>
          <w:lang w:val="en-US"/>
        </w:rPr>
        <w:t>Health, safety, and wellbeing.</w:t>
      </w:r>
      <w:r w:rsidRPr="3366325C">
        <w:rPr>
          <w:rFonts w:ascii="Arial" w:hAnsi="Arial" w:cs="Arial"/>
          <w:lang w:val="en-US"/>
        </w:rPr>
        <w:t xml:space="preserve"> Stakeholders are committed to a safe workplace and </w:t>
      </w:r>
      <w:r w:rsidR="2A386BA4" w:rsidRPr="3366325C">
        <w:rPr>
          <w:rFonts w:ascii="Arial" w:hAnsi="Arial" w:cs="Arial"/>
          <w:lang w:val="en-US"/>
        </w:rPr>
        <w:t>focused</w:t>
      </w:r>
      <w:r w:rsidRPr="3366325C">
        <w:rPr>
          <w:rFonts w:ascii="Arial" w:hAnsi="Arial" w:cs="Arial"/>
          <w:lang w:val="en-US"/>
        </w:rPr>
        <w:t xml:space="preserve"> on driving novel approaches to problem resolution that generate cost savings, effectiveness and efficiency through health, </w:t>
      </w:r>
      <w:proofErr w:type="gramStart"/>
      <w:r w:rsidRPr="3366325C">
        <w:rPr>
          <w:rFonts w:ascii="Arial" w:hAnsi="Arial" w:cs="Arial"/>
          <w:lang w:val="en-US"/>
        </w:rPr>
        <w:t>safety</w:t>
      </w:r>
      <w:proofErr w:type="gramEnd"/>
      <w:r w:rsidRPr="3366325C">
        <w:rPr>
          <w:rFonts w:ascii="Arial" w:hAnsi="Arial" w:cs="Arial"/>
          <w:lang w:val="en-US"/>
        </w:rPr>
        <w:t xml:space="preserve"> and wellbeing, rather than focusing solely on regulatory burden and costs associated with compliance. However, modern</w:t>
      </w:r>
      <w:r w:rsidR="00DF5C2C" w:rsidRPr="3366325C">
        <w:rPr>
          <w:rFonts w:ascii="Arial" w:hAnsi="Arial" w:cs="Arial"/>
          <w:lang w:val="en-US"/>
        </w:rPr>
        <w:t xml:space="preserve"> </w:t>
      </w:r>
      <w:r w:rsidRPr="3366325C">
        <w:rPr>
          <w:rFonts w:ascii="Arial" w:hAnsi="Arial" w:cs="Arial"/>
          <w:lang w:val="en-US"/>
        </w:rPr>
        <w:t>awards and associated legislation should be practical and easy to understand, and farm</w:t>
      </w:r>
      <w:r w:rsidR="00DF5C2C" w:rsidRPr="3366325C">
        <w:rPr>
          <w:rFonts w:ascii="Arial" w:hAnsi="Arial" w:cs="Arial"/>
          <w:lang w:val="en-US"/>
        </w:rPr>
        <w:t xml:space="preserve"> </w:t>
      </w:r>
      <w:r w:rsidRPr="3366325C">
        <w:rPr>
          <w:rFonts w:ascii="Arial" w:hAnsi="Arial" w:cs="Arial"/>
          <w:lang w:val="en-US"/>
        </w:rPr>
        <w:t>businesses are accountable for legal responsibilities and rights relevant to their business.</w:t>
      </w:r>
    </w:p>
    <w:p w14:paraId="453E8EB5" w14:textId="39B1F772" w:rsidR="00CE330D" w:rsidRPr="00CE330D" w:rsidRDefault="00CE330D" w:rsidP="00CE330D">
      <w:pPr>
        <w:pStyle w:val="ListParagraph"/>
        <w:numPr>
          <w:ilvl w:val="0"/>
          <w:numId w:val="16"/>
        </w:numPr>
        <w:rPr>
          <w:rFonts w:ascii="Arial" w:hAnsi="Arial" w:cs="Arial"/>
          <w:lang w:val="en-US"/>
        </w:rPr>
      </w:pPr>
      <w:r w:rsidRPr="3366325C">
        <w:rPr>
          <w:rFonts w:ascii="Arial" w:hAnsi="Arial" w:cs="Arial"/>
          <w:b/>
          <w:bCs/>
          <w:lang w:val="en-US"/>
        </w:rPr>
        <w:t>Capability.</w:t>
      </w:r>
      <w:r w:rsidRPr="3366325C">
        <w:rPr>
          <w:rFonts w:ascii="Arial" w:hAnsi="Arial" w:cs="Arial"/>
          <w:lang w:val="en-US"/>
        </w:rPr>
        <w:t xml:space="preserve"> Capability building is central to performance and sustainability and requires a</w:t>
      </w:r>
      <w:r w:rsidR="00DF5C2C" w:rsidRPr="3366325C">
        <w:rPr>
          <w:rFonts w:ascii="Arial" w:hAnsi="Arial" w:cs="Arial"/>
          <w:lang w:val="en-US"/>
        </w:rPr>
        <w:t xml:space="preserve"> </w:t>
      </w:r>
      <w:r w:rsidRPr="3366325C">
        <w:rPr>
          <w:rFonts w:ascii="Arial" w:hAnsi="Arial" w:cs="Arial"/>
          <w:lang w:val="en-US"/>
        </w:rPr>
        <w:t>strategic management approach to continuing</w:t>
      </w:r>
      <w:r w:rsidR="77367ED4" w:rsidRPr="3366325C">
        <w:rPr>
          <w:rFonts w:ascii="Arial" w:hAnsi="Arial" w:cs="Arial"/>
          <w:lang w:val="en-US"/>
        </w:rPr>
        <w:t xml:space="preserve"> education and professional development as an integral part of workforce planning. </w:t>
      </w:r>
    </w:p>
    <w:p w14:paraId="1A422E61" w14:textId="4428B369" w:rsidR="002850DC" w:rsidRDefault="00DF5C2C" w:rsidP="00D07199">
      <w:pPr>
        <w:rPr>
          <w:rFonts w:ascii="Arial" w:hAnsi="Arial" w:cs="Arial"/>
          <w:sz w:val="22"/>
          <w:szCs w:val="22"/>
          <w:lang w:val="en-US"/>
        </w:rPr>
      </w:pPr>
      <w:r w:rsidRPr="3366325C">
        <w:rPr>
          <w:rFonts w:ascii="Arial" w:hAnsi="Arial" w:cs="Arial"/>
          <w:sz w:val="22"/>
          <w:szCs w:val="22"/>
          <w:lang w:val="en-US"/>
        </w:rPr>
        <w:t xml:space="preserve">GrainGrowers’ new </w:t>
      </w:r>
      <w:r w:rsidR="2716A501" w:rsidRPr="3366325C">
        <w:rPr>
          <w:rFonts w:ascii="Arial" w:hAnsi="Arial" w:cs="Arial"/>
          <w:sz w:val="22"/>
          <w:szCs w:val="22"/>
          <w:lang w:val="en-US"/>
        </w:rPr>
        <w:t xml:space="preserve">People and Capability </w:t>
      </w:r>
      <w:r w:rsidR="00C93E76">
        <w:rPr>
          <w:rFonts w:ascii="Arial" w:hAnsi="Arial" w:cs="Arial"/>
          <w:sz w:val="22"/>
          <w:szCs w:val="22"/>
          <w:lang w:val="en-US"/>
        </w:rPr>
        <w:t>P</w:t>
      </w:r>
      <w:r w:rsidR="00C93E76" w:rsidRPr="3366325C">
        <w:rPr>
          <w:rFonts w:ascii="Arial" w:hAnsi="Arial" w:cs="Arial"/>
          <w:sz w:val="22"/>
          <w:szCs w:val="22"/>
          <w:lang w:val="en-US"/>
        </w:rPr>
        <w:t xml:space="preserve">olicy </w:t>
      </w:r>
      <w:r w:rsidRPr="3366325C">
        <w:rPr>
          <w:rFonts w:ascii="Arial" w:hAnsi="Arial" w:cs="Arial"/>
          <w:sz w:val="22"/>
          <w:szCs w:val="22"/>
          <w:lang w:val="en-US"/>
        </w:rPr>
        <w:t xml:space="preserve">will be released shortly, along with targeted advocacy to </w:t>
      </w:r>
      <w:r w:rsidR="00C93E76">
        <w:rPr>
          <w:rFonts w:ascii="Arial" w:hAnsi="Arial" w:cs="Arial"/>
          <w:sz w:val="22"/>
          <w:szCs w:val="22"/>
          <w:lang w:val="en-US"/>
        </w:rPr>
        <w:t>g</w:t>
      </w:r>
      <w:r w:rsidR="00C93E76" w:rsidRPr="3366325C">
        <w:rPr>
          <w:rFonts w:ascii="Arial" w:hAnsi="Arial" w:cs="Arial"/>
          <w:sz w:val="22"/>
          <w:szCs w:val="22"/>
          <w:lang w:val="en-US"/>
        </w:rPr>
        <w:t xml:space="preserve">overnment </w:t>
      </w:r>
      <w:r w:rsidRPr="3366325C">
        <w:rPr>
          <w:rFonts w:ascii="Arial" w:hAnsi="Arial" w:cs="Arial"/>
          <w:sz w:val="22"/>
          <w:szCs w:val="22"/>
          <w:lang w:val="en-US"/>
        </w:rPr>
        <w:t>and industry stakeholders.</w:t>
      </w:r>
    </w:p>
    <w:p w14:paraId="1C172AF0" w14:textId="3FD7070A" w:rsidR="00357FBA" w:rsidRDefault="00357FBA" w:rsidP="00D07199">
      <w:pPr>
        <w:rPr>
          <w:rFonts w:ascii="Arial" w:hAnsi="Arial" w:cs="Arial"/>
          <w:sz w:val="22"/>
          <w:szCs w:val="22"/>
          <w:lang w:val="en-US"/>
        </w:rPr>
      </w:pPr>
    </w:p>
    <w:p w14:paraId="3735D9E8" w14:textId="27F579DE" w:rsidR="00357FBA" w:rsidRDefault="00357FBA" w:rsidP="00D07199">
      <w:pPr>
        <w:rPr>
          <w:rFonts w:ascii="Arial" w:hAnsi="Arial" w:cs="Arial"/>
          <w:sz w:val="22"/>
          <w:szCs w:val="22"/>
          <w:lang w:val="en-US"/>
        </w:rPr>
      </w:pPr>
    </w:p>
    <w:p w14:paraId="0F50F24C" w14:textId="2F6C0D60" w:rsidR="00357FBA" w:rsidRDefault="00357FBA" w:rsidP="00D07199">
      <w:pPr>
        <w:rPr>
          <w:rFonts w:ascii="Arial" w:hAnsi="Arial" w:cs="Arial"/>
          <w:sz w:val="22"/>
          <w:szCs w:val="22"/>
          <w:lang w:val="en-US"/>
        </w:rPr>
      </w:pPr>
    </w:p>
    <w:p w14:paraId="5F49E574" w14:textId="30F47B38" w:rsidR="00357FBA" w:rsidRDefault="00357FBA" w:rsidP="00D07199">
      <w:pPr>
        <w:rPr>
          <w:rFonts w:ascii="Arial" w:hAnsi="Arial" w:cs="Arial"/>
          <w:sz w:val="22"/>
          <w:szCs w:val="22"/>
          <w:lang w:val="en-US"/>
        </w:rPr>
      </w:pPr>
    </w:p>
    <w:p w14:paraId="2E27D249" w14:textId="48BB042D" w:rsidR="00357FBA" w:rsidRDefault="00357FBA" w:rsidP="00D07199">
      <w:pPr>
        <w:rPr>
          <w:rFonts w:ascii="Arial" w:hAnsi="Arial" w:cs="Arial"/>
          <w:sz w:val="22"/>
          <w:szCs w:val="22"/>
          <w:lang w:val="en-US"/>
        </w:rPr>
      </w:pPr>
    </w:p>
    <w:p w14:paraId="499BFB07" w14:textId="7FFA1CB9" w:rsidR="00357FBA" w:rsidRDefault="00357FBA" w:rsidP="00D07199">
      <w:pPr>
        <w:rPr>
          <w:rFonts w:ascii="Arial" w:hAnsi="Arial" w:cs="Arial"/>
          <w:sz w:val="22"/>
          <w:szCs w:val="22"/>
          <w:lang w:val="en-US"/>
        </w:rPr>
      </w:pPr>
    </w:p>
    <w:p w14:paraId="392CD59A" w14:textId="080B3A1C" w:rsidR="00357FBA" w:rsidRDefault="00357FBA" w:rsidP="00D07199">
      <w:pPr>
        <w:rPr>
          <w:rFonts w:ascii="Arial" w:hAnsi="Arial" w:cs="Arial"/>
          <w:sz w:val="22"/>
          <w:szCs w:val="22"/>
          <w:lang w:val="en-US"/>
        </w:rPr>
      </w:pPr>
    </w:p>
    <w:p w14:paraId="31C0EA63" w14:textId="50ECA3DE" w:rsidR="00357FBA" w:rsidRDefault="00357FBA" w:rsidP="00D07199">
      <w:pPr>
        <w:rPr>
          <w:rFonts w:ascii="Arial" w:hAnsi="Arial" w:cs="Arial"/>
          <w:sz w:val="22"/>
          <w:szCs w:val="22"/>
          <w:lang w:val="en-US"/>
        </w:rPr>
      </w:pPr>
    </w:p>
    <w:p w14:paraId="21575591" w14:textId="2E7A4DF4" w:rsidR="00357FBA" w:rsidRDefault="00357FBA" w:rsidP="00D07199">
      <w:pPr>
        <w:rPr>
          <w:rFonts w:ascii="Arial" w:hAnsi="Arial" w:cs="Arial"/>
          <w:sz w:val="22"/>
          <w:szCs w:val="22"/>
          <w:lang w:val="en-US"/>
        </w:rPr>
      </w:pPr>
    </w:p>
    <w:p w14:paraId="250D5EE9" w14:textId="0CFEDF3F" w:rsidR="00357FBA" w:rsidRDefault="00357FBA" w:rsidP="00D07199">
      <w:pPr>
        <w:rPr>
          <w:rFonts w:ascii="Arial" w:hAnsi="Arial" w:cs="Arial"/>
          <w:sz w:val="22"/>
          <w:szCs w:val="22"/>
          <w:lang w:val="en-US"/>
        </w:rPr>
      </w:pPr>
    </w:p>
    <w:p w14:paraId="28C73C1F" w14:textId="7E5A28A1" w:rsidR="00357FBA" w:rsidRDefault="00357FBA" w:rsidP="00D07199">
      <w:pPr>
        <w:rPr>
          <w:rFonts w:ascii="Arial" w:hAnsi="Arial" w:cs="Arial"/>
          <w:sz w:val="22"/>
          <w:szCs w:val="22"/>
          <w:lang w:val="en-US"/>
        </w:rPr>
      </w:pPr>
    </w:p>
    <w:p w14:paraId="43816CF7" w14:textId="1F2719AF" w:rsidR="00D07199" w:rsidRPr="00000BB1" w:rsidRDefault="00D07199" w:rsidP="3366325C">
      <w:pPr>
        <w:spacing w:before="120"/>
        <w:rPr>
          <w:rFonts w:ascii="Arial" w:hAnsi="Arial" w:cs="Arial"/>
          <w:b/>
          <w:bCs/>
          <w:sz w:val="22"/>
          <w:szCs w:val="22"/>
          <w:lang w:val="en-US"/>
        </w:rPr>
      </w:pPr>
      <w:r w:rsidRPr="3366325C">
        <w:rPr>
          <w:rFonts w:ascii="Arial" w:hAnsi="Arial" w:cs="Arial"/>
          <w:b/>
          <w:bCs/>
          <w:sz w:val="22"/>
          <w:szCs w:val="22"/>
          <w:lang w:val="en-US"/>
        </w:rPr>
        <w:lastRenderedPageBreak/>
        <w:t>Next Steps</w:t>
      </w:r>
    </w:p>
    <w:p w14:paraId="2B44D9F8" w14:textId="0F6DEDDD" w:rsidR="00984103" w:rsidRPr="00000BB1" w:rsidRDefault="00ED4E31" w:rsidP="076C504A">
      <w:pPr>
        <w:rPr>
          <w:rFonts w:ascii="Arial" w:hAnsi="Arial" w:cs="Arial"/>
          <w:sz w:val="22"/>
          <w:szCs w:val="22"/>
          <w:lang w:eastAsia="en-AU"/>
        </w:rPr>
      </w:pPr>
      <w:r w:rsidRPr="3366325C">
        <w:rPr>
          <w:rFonts w:ascii="Arial" w:hAnsi="Arial" w:cs="Arial"/>
          <w:sz w:val="22"/>
          <w:szCs w:val="22"/>
          <w:lang w:eastAsia="en-AU"/>
        </w:rPr>
        <w:t>GrainGrowers would like to thank</w:t>
      </w:r>
      <w:r w:rsidR="001A340E" w:rsidRPr="3366325C">
        <w:rPr>
          <w:rFonts w:ascii="Arial" w:hAnsi="Arial" w:cs="Arial"/>
          <w:sz w:val="22"/>
          <w:szCs w:val="22"/>
          <w:lang w:eastAsia="en-AU"/>
        </w:rPr>
        <w:t xml:space="preserve"> our Western NPG members for their contributions over the past three years. </w:t>
      </w:r>
      <w:r w:rsidR="62E29092" w:rsidRPr="3366325C">
        <w:rPr>
          <w:rFonts w:ascii="Arial" w:hAnsi="Arial" w:cs="Arial"/>
          <w:sz w:val="22"/>
          <w:szCs w:val="22"/>
          <w:lang w:eastAsia="en-AU"/>
        </w:rPr>
        <w:t xml:space="preserve">For </w:t>
      </w:r>
      <w:r w:rsidR="00D07199" w:rsidRPr="3366325C">
        <w:rPr>
          <w:rFonts w:ascii="Arial" w:hAnsi="Arial" w:cs="Arial"/>
          <w:sz w:val="22"/>
          <w:szCs w:val="22"/>
          <w:lang w:eastAsia="en-AU"/>
        </w:rPr>
        <w:t xml:space="preserve">further information about any </w:t>
      </w:r>
      <w:r w:rsidR="000317DD" w:rsidRPr="3366325C">
        <w:rPr>
          <w:rFonts w:ascii="Arial" w:hAnsi="Arial" w:cs="Arial"/>
          <w:sz w:val="22"/>
          <w:szCs w:val="22"/>
          <w:lang w:eastAsia="en-AU"/>
        </w:rPr>
        <w:t xml:space="preserve">of the issues discussed or </w:t>
      </w:r>
      <w:r w:rsidR="63E21224" w:rsidRPr="3366325C">
        <w:rPr>
          <w:rFonts w:ascii="Arial" w:hAnsi="Arial" w:cs="Arial"/>
          <w:sz w:val="22"/>
          <w:szCs w:val="22"/>
          <w:lang w:eastAsia="en-AU"/>
        </w:rPr>
        <w:t xml:space="preserve">to </w:t>
      </w:r>
      <w:r w:rsidR="000317DD" w:rsidRPr="3366325C">
        <w:rPr>
          <w:rFonts w:ascii="Arial" w:hAnsi="Arial" w:cs="Arial"/>
          <w:sz w:val="22"/>
          <w:szCs w:val="22"/>
          <w:lang w:eastAsia="en-AU"/>
        </w:rPr>
        <w:t>provide feedback</w:t>
      </w:r>
      <w:r w:rsidR="00D07199" w:rsidRPr="3366325C">
        <w:rPr>
          <w:rFonts w:ascii="Arial" w:hAnsi="Arial" w:cs="Arial"/>
          <w:sz w:val="22"/>
          <w:szCs w:val="22"/>
          <w:lang w:eastAsia="en-AU"/>
        </w:rPr>
        <w:t xml:space="preserve">, please get in touch at </w:t>
      </w:r>
      <w:hyperlink r:id="rId15">
        <w:r w:rsidR="00D07199" w:rsidRPr="3366325C">
          <w:rPr>
            <w:rStyle w:val="Hyperlink"/>
            <w:rFonts w:ascii="Arial" w:hAnsi="Arial" w:cs="Arial"/>
            <w:sz w:val="22"/>
            <w:szCs w:val="22"/>
            <w:lang w:eastAsia="en-AU"/>
          </w:rPr>
          <w:t>enquiry@graingrowers.com.au</w:t>
        </w:r>
      </w:hyperlink>
      <w:r w:rsidR="00D07199" w:rsidRPr="3366325C">
        <w:rPr>
          <w:rFonts w:ascii="Arial" w:hAnsi="Arial" w:cs="Arial"/>
          <w:sz w:val="22"/>
          <w:szCs w:val="22"/>
          <w:lang w:eastAsia="en-AU"/>
        </w:rPr>
        <w:t xml:space="preserve"> or </w:t>
      </w:r>
    </w:p>
    <w:p w14:paraId="44F0ADF8" w14:textId="700CEAF7" w:rsidR="000317DD" w:rsidRDefault="00984103" w:rsidP="00D07199">
      <w:pPr>
        <w:rPr>
          <w:rFonts w:ascii="Arial" w:hAnsi="Arial" w:cs="Arial"/>
          <w:sz w:val="22"/>
          <w:szCs w:val="22"/>
          <w:lang w:eastAsia="en-AU"/>
        </w:rPr>
      </w:pPr>
      <w:r w:rsidRPr="00000BB1">
        <w:rPr>
          <w:rFonts w:ascii="Arial" w:hAnsi="Arial" w:cs="Arial"/>
          <w:sz w:val="22"/>
          <w:szCs w:val="22"/>
          <w:lang w:eastAsia="en-AU"/>
        </w:rPr>
        <w:t>(</w:t>
      </w:r>
      <w:r w:rsidR="00D07199" w:rsidRPr="00000BB1">
        <w:rPr>
          <w:rFonts w:ascii="Arial" w:hAnsi="Arial" w:cs="Arial"/>
          <w:sz w:val="22"/>
          <w:szCs w:val="22"/>
          <w:lang w:eastAsia="en-AU"/>
        </w:rPr>
        <w:t>02</w:t>
      </w:r>
      <w:r w:rsidRPr="00000BB1">
        <w:rPr>
          <w:rFonts w:ascii="Arial" w:hAnsi="Arial" w:cs="Arial"/>
          <w:sz w:val="22"/>
          <w:szCs w:val="22"/>
          <w:lang w:eastAsia="en-AU"/>
        </w:rPr>
        <w:t>)</w:t>
      </w:r>
      <w:r w:rsidR="00D07199" w:rsidRPr="00000BB1">
        <w:rPr>
          <w:rFonts w:ascii="Arial" w:hAnsi="Arial" w:cs="Arial"/>
          <w:sz w:val="22"/>
          <w:szCs w:val="22"/>
          <w:lang w:eastAsia="en-AU"/>
        </w:rPr>
        <w:t xml:space="preserve"> 9286 2000.</w:t>
      </w:r>
    </w:p>
    <w:p w14:paraId="3A9EFB85" w14:textId="77777777" w:rsidR="00357FBA" w:rsidRDefault="00357FBA" w:rsidP="00D07199">
      <w:pPr>
        <w:rPr>
          <w:rFonts w:ascii="Arial" w:hAnsi="Arial" w:cs="Arial"/>
          <w:sz w:val="22"/>
          <w:szCs w:val="22"/>
          <w:lang w:eastAsia="en-AU"/>
        </w:rPr>
      </w:pPr>
    </w:p>
    <w:p w14:paraId="614F94C8" w14:textId="517009D7" w:rsidR="00D07199" w:rsidRPr="00000BB1" w:rsidRDefault="001A340E" w:rsidP="00D0719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sz w:val="22"/>
          <w:szCs w:val="22"/>
          <w:lang w:eastAsia="en-AU"/>
        </w:rPr>
      </w:pPr>
      <w:r w:rsidRPr="00000BB1">
        <w:rPr>
          <w:rFonts w:ascii="Arial" w:hAnsi="Arial" w:cs="Arial"/>
          <w:b/>
          <w:bCs/>
          <w:sz w:val="22"/>
          <w:szCs w:val="22"/>
          <w:lang w:eastAsia="en-AU"/>
        </w:rPr>
        <w:t xml:space="preserve">Applying for NPG </w:t>
      </w:r>
    </w:p>
    <w:p w14:paraId="450B9DB0" w14:textId="0A7418A2" w:rsidR="00D07199" w:rsidRDefault="00D07199" w:rsidP="00D0719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Style w:val="Hyperlink"/>
          <w:rFonts w:ascii="Arial" w:hAnsi="Arial" w:cs="Arial"/>
          <w:sz w:val="20"/>
          <w:szCs w:val="20"/>
        </w:rPr>
      </w:pPr>
      <w:r w:rsidRPr="00CE330D">
        <w:rPr>
          <w:rFonts w:ascii="Arial" w:hAnsi="Arial" w:cs="Arial"/>
          <w:sz w:val="20"/>
          <w:szCs w:val="20"/>
          <w:lang w:eastAsia="en-AU"/>
        </w:rPr>
        <w:t xml:space="preserve">The NPG provides input into, reviews and approves GrainGrowers’ policy positions that are developed on behalf of all Australian grain farmers. NPG comprises 15 elected grower representatives, five from each of the Western, Southern and Northern regions. The group meets several times a year in person to debate the important issues effecting growers. Further information is available at: </w:t>
      </w:r>
      <w:hyperlink r:id="rId16">
        <w:r w:rsidRPr="00CE330D">
          <w:rPr>
            <w:rStyle w:val="Hyperlink"/>
            <w:rFonts w:ascii="Arial" w:hAnsi="Arial" w:cs="Arial"/>
            <w:sz w:val="20"/>
            <w:szCs w:val="20"/>
          </w:rPr>
          <w:t>https://www.graingrowers.com.au/policy/national-policy-group/</w:t>
        </w:r>
      </w:hyperlink>
    </w:p>
    <w:p w14:paraId="22E1B241" w14:textId="77777777" w:rsidR="00357FBA" w:rsidRPr="00CE330D" w:rsidRDefault="00357FBA" w:rsidP="00D0719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Style w:val="Hyperlink"/>
          <w:rFonts w:ascii="Arial" w:hAnsi="Arial" w:cs="Arial"/>
          <w:sz w:val="20"/>
          <w:szCs w:val="20"/>
        </w:rPr>
      </w:pPr>
    </w:p>
    <w:p w14:paraId="5C6C30BA" w14:textId="77777777" w:rsidR="00984103" w:rsidRPr="00CE330D" w:rsidRDefault="005748FA" w:rsidP="005748FA">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sz w:val="20"/>
          <w:szCs w:val="20"/>
        </w:rPr>
      </w:pPr>
      <w:r w:rsidRPr="00CE330D">
        <w:rPr>
          <w:rFonts w:ascii="Arial" w:hAnsi="Arial" w:cs="Arial"/>
          <w:b/>
          <w:bCs/>
          <w:sz w:val="20"/>
          <w:szCs w:val="20"/>
        </w:rPr>
        <w:t xml:space="preserve">Interested in joining the NPG?  </w:t>
      </w:r>
    </w:p>
    <w:p w14:paraId="04A47313" w14:textId="1E4FD6FA" w:rsidR="00D07199" w:rsidRPr="00CE330D" w:rsidRDefault="001A340E" w:rsidP="00984103">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sz w:val="20"/>
          <w:szCs w:val="20"/>
        </w:rPr>
      </w:pPr>
      <w:r w:rsidRPr="00CE330D">
        <w:rPr>
          <w:rFonts w:ascii="Arial" w:hAnsi="Arial" w:cs="Arial"/>
          <w:b/>
          <w:bCs/>
          <w:sz w:val="20"/>
          <w:szCs w:val="20"/>
        </w:rPr>
        <w:t>GrainGrowers is currently accepting a</w:t>
      </w:r>
      <w:r w:rsidR="00984103" w:rsidRPr="00CE330D">
        <w:rPr>
          <w:rFonts w:ascii="Arial" w:hAnsi="Arial" w:cs="Arial"/>
          <w:b/>
          <w:bCs/>
          <w:sz w:val="20"/>
          <w:szCs w:val="20"/>
        </w:rPr>
        <w:t>pplications for the Western Region NPG representatives</w:t>
      </w:r>
      <w:r w:rsidRPr="00CE330D">
        <w:rPr>
          <w:rFonts w:ascii="Arial" w:hAnsi="Arial" w:cs="Arial"/>
          <w:b/>
          <w:bCs/>
          <w:sz w:val="20"/>
          <w:szCs w:val="20"/>
        </w:rPr>
        <w:t>, which close Monday 19 October 2020.</w:t>
      </w:r>
      <w:r w:rsidR="00984103" w:rsidRPr="00CE330D">
        <w:rPr>
          <w:rFonts w:ascii="Arial" w:hAnsi="Arial" w:cs="Arial"/>
          <w:b/>
          <w:bCs/>
          <w:sz w:val="20"/>
          <w:szCs w:val="20"/>
        </w:rPr>
        <w:t xml:space="preserve"> Growers in SA and WA are encouraged to apply! Please keep an eye out for updates in e-news and the website. </w:t>
      </w:r>
    </w:p>
    <w:p w14:paraId="4863D3F8" w14:textId="77777777" w:rsidR="00D07199" w:rsidRPr="00000BB1" w:rsidRDefault="00D07199" w:rsidP="00D07199">
      <w:pPr>
        <w:rPr>
          <w:rFonts w:cstheme="minorHAnsi"/>
          <w:sz w:val="22"/>
          <w:szCs w:val="22"/>
          <w:lang w:val="en-US"/>
        </w:rPr>
      </w:pPr>
    </w:p>
    <w:p w14:paraId="29BED805" w14:textId="7293FF1B" w:rsidR="00D97091" w:rsidRPr="00000BB1" w:rsidRDefault="00D97091" w:rsidP="00D07199">
      <w:pPr>
        <w:rPr>
          <w:rFonts w:cstheme="minorHAnsi"/>
          <w:sz w:val="22"/>
          <w:szCs w:val="22"/>
          <w:lang w:val="en-US"/>
        </w:rPr>
      </w:pPr>
    </w:p>
    <w:p w14:paraId="32AE97EF" w14:textId="77777777" w:rsidR="00D07199" w:rsidRPr="00000BB1" w:rsidRDefault="00D07199" w:rsidP="00D07199">
      <w:pPr>
        <w:rPr>
          <w:rFonts w:cstheme="minorHAnsi"/>
          <w:sz w:val="22"/>
          <w:szCs w:val="22"/>
          <w:lang w:val="en-US"/>
        </w:rPr>
      </w:pPr>
    </w:p>
    <w:p w14:paraId="471FBD66" w14:textId="77777777" w:rsidR="005012EA" w:rsidRPr="00000BB1" w:rsidRDefault="005012EA" w:rsidP="00D07199">
      <w:pPr>
        <w:rPr>
          <w:rFonts w:cstheme="minorHAnsi"/>
          <w:sz w:val="22"/>
          <w:szCs w:val="22"/>
          <w:lang w:val="en-US"/>
        </w:rPr>
      </w:pPr>
    </w:p>
    <w:sectPr w:rsidR="005012EA" w:rsidRPr="00000BB1" w:rsidSect="005012EA">
      <w:headerReference w:type="default" r:id="rId17"/>
      <w:footerReference w:type="default" r:id="rId18"/>
      <w:headerReference w:type="first" r:id="rId19"/>
      <w:type w:val="continuous"/>
      <w:pgSz w:w="11900" w:h="16840"/>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0DC6" w14:textId="77777777" w:rsidR="00F54101" w:rsidRDefault="00F54101" w:rsidP="00C9421A">
      <w:r>
        <w:separator/>
      </w:r>
    </w:p>
  </w:endnote>
  <w:endnote w:type="continuationSeparator" w:id="0">
    <w:p w14:paraId="1538F306" w14:textId="77777777" w:rsidR="00F54101" w:rsidRDefault="00F54101" w:rsidP="00C9421A">
      <w:r>
        <w:continuationSeparator/>
      </w:r>
    </w:p>
  </w:endnote>
  <w:endnote w:type="continuationNotice" w:id="1">
    <w:p w14:paraId="78CD1D77" w14:textId="77777777" w:rsidR="00F54101" w:rsidRDefault="00F5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E7AC" w14:textId="77777777" w:rsidR="00C9421A" w:rsidRDefault="0065766E">
    <w:pPr>
      <w:pStyle w:val="Footer"/>
    </w:pPr>
    <w:r>
      <w:rPr>
        <w:noProof/>
      </w:rPr>
      <mc:AlternateContent>
        <mc:Choice Requires="wps">
          <w:drawing>
            <wp:anchor distT="0" distB="0" distL="114300" distR="114300" simplePos="0" relativeHeight="251658241" behindDoc="0" locked="0" layoutInCell="1" allowOverlap="1" wp14:anchorId="6764E323" wp14:editId="5B641E93">
              <wp:simplePos x="0" y="0"/>
              <wp:positionH relativeFrom="page">
                <wp:posOffset>541867</wp:posOffset>
              </wp:positionH>
              <wp:positionV relativeFrom="page">
                <wp:posOffset>10081260</wp:posOffset>
              </wp:positionV>
              <wp:extent cx="6289200" cy="42840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289200" cy="428400"/>
                      </a:xfrm>
                      <a:prstGeom prst="rect">
                        <a:avLst/>
                      </a:prstGeom>
                      <a:noFill/>
                      <a:ln w="6350">
                        <a:noFill/>
                      </a:ln>
                    </wps:spPr>
                    <wps:txbx>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E323" id="_x0000_t202" coordsize="21600,21600" o:spt="202" path="m,l,21600r21600,l21600,xe">
              <v:stroke joinstyle="miter"/>
              <v:path gradientshapeok="t" o:connecttype="rect"/>
            </v:shapetype>
            <v:shape id="Text Box 2" o:spid="_x0000_s1026" type="#_x0000_t202" style="position:absolute;margin-left:42.65pt;margin-top:793.8pt;width:495.2pt;height:3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" filled="f" stroked="f" strokeweight=".5pt">
              <v:textbox inset="0,0,0,0">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2BB0" w14:textId="77777777" w:rsidR="00F54101" w:rsidRDefault="00F54101" w:rsidP="00C9421A">
      <w:r>
        <w:separator/>
      </w:r>
    </w:p>
  </w:footnote>
  <w:footnote w:type="continuationSeparator" w:id="0">
    <w:p w14:paraId="482B4B80" w14:textId="77777777" w:rsidR="00F54101" w:rsidRDefault="00F54101" w:rsidP="00C9421A">
      <w:r>
        <w:continuationSeparator/>
      </w:r>
    </w:p>
  </w:footnote>
  <w:footnote w:type="continuationNotice" w:id="1">
    <w:p w14:paraId="4C9742C9" w14:textId="77777777" w:rsidR="00F54101" w:rsidRDefault="00F54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E7B0" w14:textId="77777777" w:rsidR="00C9421A" w:rsidRDefault="00C9421A">
    <w:pPr>
      <w:pStyle w:val="Header"/>
    </w:pPr>
    <w:r>
      <w:rPr>
        <w:noProof/>
      </w:rPr>
      <w:drawing>
        <wp:anchor distT="0" distB="0" distL="114300" distR="114300" simplePos="0" relativeHeight="251658240" behindDoc="1" locked="0" layoutInCell="1" allowOverlap="1" wp14:anchorId="2DC366A8" wp14:editId="051C5FC5">
          <wp:simplePos x="0" y="0"/>
          <wp:positionH relativeFrom="page">
            <wp:align>left</wp:align>
          </wp:positionH>
          <wp:positionV relativeFrom="page">
            <wp:align>top</wp:align>
          </wp:positionV>
          <wp:extent cx="7564494" cy="10692000"/>
          <wp:effectExtent l="0" t="0" r="508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F158" w14:textId="4D7A2BB9" w:rsidR="00AB5206" w:rsidRDefault="00AB5206" w:rsidP="00246026">
    <w:pPr>
      <w:pStyle w:val="Header"/>
      <w:spacing w:after="2000"/>
    </w:pPr>
    <w:r>
      <w:rPr>
        <w:noProof/>
      </w:rPr>
      <w:drawing>
        <wp:anchor distT="0" distB="0" distL="114300" distR="114300" simplePos="0" relativeHeight="251658242" behindDoc="1" locked="0" layoutInCell="1" allowOverlap="1" wp14:anchorId="20817EA5" wp14:editId="2770033A">
          <wp:simplePos x="0" y="0"/>
          <wp:positionH relativeFrom="page">
            <wp:posOffset>0</wp:posOffset>
          </wp:positionH>
          <wp:positionV relativeFrom="page">
            <wp:posOffset>0</wp:posOffset>
          </wp:positionV>
          <wp:extent cx="7567200" cy="10692000"/>
          <wp:effectExtent l="0" t="0" r="254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rotWithShape="1">
                  <a:blip r:embed="rId1">
                    <a:extLst>
                      <a:ext uri="{28A0092B-C50C-407E-A947-70E740481C1C}">
                        <a14:useLocalDpi xmlns:a14="http://schemas.microsoft.com/office/drawing/2010/main" val="0"/>
                      </a:ext>
                    </a:extLst>
                  </a:blip>
                  <a:src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062B"/>
    <w:multiLevelType w:val="hybridMultilevel"/>
    <w:tmpl w:val="8D18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97B74"/>
    <w:multiLevelType w:val="hybridMultilevel"/>
    <w:tmpl w:val="B63A5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604B8B"/>
    <w:multiLevelType w:val="hybridMultilevel"/>
    <w:tmpl w:val="999E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62414"/>
    <w:multiLevelType w:val="hybridMultilevel"/>
    <w:tmpl w:val="AE9A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51309"/>
    <w:multiLevelType w:val="hybridMultilevel"/>
    <w:tmpl w:val="D31A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96E8B"/>
    <w:multiLevelType w:val="hybridMultilevel"/>
    <w:tmpl w:val="181C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26D23"/>
    <w:multiLevelType w:val="hybridMultilevel"/>
    <w:tmpl w:val="4CB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768E2"/>
    <w:multiLevelType w:val="hybridMultilevel"/>
    <w:tmpl w:val="D41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CD221E"/>
    <w:multiLevelType w:val="hybridMultilevel"/>
    <w:tmpl w:val="344E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717776"/>
    <w:multiLevelType w:val="hybridMultilevel"/>
    <w:tmpl w:val="E42E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26A5E"/>
    <w:multiLevelType w:val="hybridMultilevel"/>
    <w:tmpl w:val="C1AA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8B56CD"/>
    <w:multiLevelType w:val="hybridMultilevel"/>
    <w:tmpl w:val="8248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F4C81"/>
    <w:multiLevelType w:val="hybridMultilevel"/>
    <w:tmpl w:val="5E1A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D31F1"/>
    <w:multiLevelType w:val="hybridMultilevel"/>
    <w:tmpl w:val="4ECA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F1D01"/>
    <w:multiLevelType w:val="hybridMultilevel"/>
    <w:tmpl w:val="E206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A43A63"/>
    <w:multiLevelType w:val="hybridMultilevel"/>
    <w:tmpl w:val="43A4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3"/>
  </w:num>
  <w:num w:numId="5">
    <w:abstractNumId w:val="2"/>
  </w:num>
  <w:num w:numId="6">
    <w:abstractNumId w:val="4"/>
  </w:num>
  <w:num w:numId="7">
    <w:abstractNumId w:val="10"/>
  </w:num>
  <w:num w:numId="8">
    <w:abstractNumId w:val="7"/>
  </w:num>
  <w:num w:numId="9">
    <w:abstractNumId w:val="5"/>
  </w:num>
  <w:num w:numId="10">
    <w:abstractNumId w:val="11"/>
  </w:num>
  <w:num w:numId="11">
    <w:abstractNumId w:val="14"/>
  </w:num>
  <w:num w:numId="12">
    <w:abstractNumId w:val="12"/>
  </w:num>
  <w:num w:numId="13">
    <w:abstractNumId w:val="6"/>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A"/>
    <w:rsid w:val="00000BB1"/>
    <w:rsid w:val="000108B0"/>
    <w:rsid w:val="000317DD"/>
    <w:rsid w:val="00050285"/>
    <w:rsid w:val="000535D2"/>
    <w:rsid w:val="000B00E4"/>
    <w:rsid w:val="000B0ECD"/>
    <w:rsid w:val="00112125"/>
    <w:rsid w:val="00113EC9"/>
    <w:rsid w:val="0011566A"/>
    <w:rsid w:val="0012469E"/>
    <w:rsid w:val="00127F01"/>
    <w:rsid w:val="001313C6"/>
    <w:rsid w:val="00134B7B"/>
    <w:rsid w:val="0014790C"/>
    <w:rsid w:val="00153FAE"/>
    <w:rsid w:val="001607E8"/>
    <w:rsid w:val="00175E6B"/>
    <w:rsid w:val="00176596"/>
    <w:rsid w:val="001979A6"/>
    <w:rsid w:val="001A340E"/>
    <w:rsid w:val="001E617A"/>
    <w:rsid w:val="00210E30"/>
    <w:rsid w:val="00212DF7"/>
    <w:rsid w:val="00223295"/>
    <w:rsid w:val="00246026"/>
    <w:rsid w:val="00252264"/>
    <w:rsid w:val="00253298"/>
    <w:rsid w:val="00266E09"/>
    <w:rsid w:val="002740C1"/>
    <w:rsid w:val="0028000E"/>
    <w:rsid w:val="002850DC"/>
    <w:rsid w:val="0028586C"/>
    <w:rsid w:val="00291A88"/>
    <w:rsid w:val="002C63F7"/>
    <w:rsid w:val="00322016"/>
    <w:rsid w:val="00357FBA"/>
    <w:rsid w:val="00363EE1"/>
    <w:rsid w:val="00385D9C"/>
    <w:rsid w:val="003A2394"/>
    <w:rsid w:val="003D2622"/>
    <w:rsid w:val="003D6271"/>
    <w:rsid w:val="003E424A"/>
    <w:rsid w:val="003E4CCE"/>
    <w:rsid w:val="003E64E8"/>
    <w:rsid w:val="00406F08"/>
    <w:rsid w:val="00420872"/>
    <w:rsid w:val="00422068"/>
    <w:rsid w:val="00431924"/>
    <w:rsid w:val="00471B73"/>
    <w:rsid w:val="00486B0F"/>
    <w:rsid w:val="004A6CA5"/>
    <w:rsid w:val="004F4946"/>
    <w:rsid w:val="005012EA"/>
    <w:rsid w:val="00510284"/>
    <w:rsid w:val="00534E0D"/>
    <w:rsid w:val="005748FA"/>
    <w:rsid w:val="00650CC6"/>
    <w:rsid w:val="0065766E"/>
    <w:rsid w:val="00697530"/>
    <w:rsid w:val="006A0B65"/>
    <w:rsid w:val="006C3FCB"/>
    <w:rsid w:val="006C6626"/>
    <w:rsid w:val="006D5089"/>
    <w:rsid w:val="007D0665"/>
    <w:rsid w:val="007E5FF6"/>
    <w:rsid w:val="007F24BB"/>
    <w:rsid w:val="007F30F3"/>
    <w:rsid w:val="007F6433"/>
    <w:rsid w:val="00804233"/>
    <w:rsid w:val="00870A82"/>
    <w:rsid w:val="008740D9"/>
    <w:rsid w:val="008766A7"/>
    <w:rsid w:val="00941C4C"/>
    <w:rsid w:val="009759A8"/>
    <w:rsid w:val="00984103"/>
    <w:rsid w:val="009C2B64"/>
    <w:rsid w:val="00A057E5"/>
    <w:rsid w:val="00A314DD"/>
    <w:rsid w:val="00A45150"/>
    <w:rsid w:val="00A91A12"/>
    <w:rsid w:val="00A92704"/>
    <w:rsid w:val="00AA5A7E"/>
    <w:rsid w:val="00AB5206"/>
    <w:rsid w:val="00AD7943"/>
    <w:rsid w:val="00BA47C2"/>
    <w:rsid w:val="00BB7635"/>
    <w:rsid w:val="00BF3B55"/>
    <w:rsid w:val="00C22BD9"/>
    <w:rsid w:val="00C53E17"/>
    <w:rsid w:val="00C93E76"/>
    <w:rsid w:val="00C9421A"/>
    <w:rsid w:val="00CE330D"/>
    <w:rsid w:val="00D07199"/>
    <w:rsid w:val="00D75831"/>
    <w:rsid w:val="00D97091"/>
    <w:rsid w:val="00DA0271"/>
    <w:rsid w:val="00DF5C2C"/>
    <w:rsid w:val="00E137A4"/>
    <w:rsid w:val="00E15E94"/>
    <w:rsid w:val="00E771CF"/>
    <w:rsid w:val="00E929A3"/>
    <w:rsid w:val="00EA79C0"/>
    <w:rsid w:val="00EB33EF"/>
    <w:rsid w:val="00EB54F8"/>
    <w:rsid w:val="00EB5A1B"/>
    <w:rsid w:val="00EC2489"/>
    <w:rsid w:val="00ED4E31"/>
    <w:rsid w:val="00EE1346"/>
    <w:rsid w:val="00EE61E7"/>
    <w:rsid w:val="00F4240C"/>
    <w:rsid w:val="00F447BE"/>
    <w:rsid w:val="00F54101"/>
    <w:rsid w:val="00F947E9"/>
    <w:rsid w:val="00FA00A0"/>
    <w:rsid w:val="00FA0712"/>
    <w:rsid w:val="00FB084B"/>
    <w:rsid w:val="00FF1774"/>
    <w:rsid w:val="063D161E"/>
    <w:rsid w:val="076C504A"/>
    <w:rsid w:val="0954B4F2"/>
    <w:rsid w:val="09B1AB85"/>
    <w:rsid w:val="0B98E0F3"/>
    <w:rsid w:val="0C648766"/>
    <w:rsid w:val="0F922C3B"/>
    <w:rsid w:val="0FC5F5E6"/>
    <w:rsid w:val="10DDAB43"/>
    <w:rsid w:val="16A46F17"/>
    <w:rsid w:val="17F4E894"/>
    <w:rsid w:val="193C3379"/>
    <w:rsid w:val="19D96D6A"/>
    <w:rsid w:val="1CA38B84"/>
    <w:rsid w:val="1CCC199B"/>
    <w:rsid w:val="22B82152"/>
    <w:rsid w:val="2303D91E"/>
    <w:rsid w:val="24DA3018"/>
    <w:rsid w:val="2570E7DC"/>
    <w:rsid w:val="26F278C0"/>
    <w:rsid w:val="2716A501"/>
    <w:rsid w:val="286F85DC"/>
    <w:rsid w:val="28DA0474"/>
    <w:rsid w:val="2924830E"/>
    <w:rsid w:val="2A386BA4"/>
    <w:rsid w:val="2BBFD04A"/>
    <w:rsid w:val="2D765F00"/>
    <w:rsid w:val="2E713B1A"/>
    <w:rsid w:val="2EBE5025"/>
    <w:rsid w:val="32254992"/>
    <w:rsid w:val="332A3658"/>
    <w:rsid w:val="3366325C"/>
    <w:rsid w:val="3716874A"/>
    <w:rsid w:val="3751C5D5"/>
    <w:rsid w:val="37F46EAC"/>
    <w:rsid w:val="384F3CEF"/>
    <w:rsid w:val="3B97EF12"/>
    <w:rsid w:val="3BF3B590"/>
    <w:rsid w:val="3C88F7AB"/>
    <w:rsid w:val="3E98BDA1"/>
    <w:rsid w:val="3EF64F62"/>
    <w:rsid w:val="3FE1EAA2"/>
    <w:rsid w:val="40463F8E"/>
    <w:rsid w:val="404B677A"/>
    <w:rsid w:val="404E259E"/>
    <w:rsid w:val="4128D8D6"/>
    <w:rsid w:val="45793B5B"/>
    <w:rsid w:val="45C522B6"/>
    <w:rsid w:val="469B4D1D"/>
    <w:rsid w:val="48DD378F"/>
    <w:rsid w:val="49896ED3"/>
    <w:rsid w:val="4C9E7497"/>
    <w:rsid w:val="4CFE1782"/>
    <w:rsid w:val="4FCA2448"/>
    <w:rsid w:val="4FEACB2E"/>
    <w:rsid w:val="50603C46"/>
    <w:rsid w:val="51C99CE3"/>
    <w:rsid w:val="52BA303F"/>
    <w:rsid w:val="531DB36C"/>
    <w:rsid w:val="5613631A"/>
    <w:rsid w:val="581ADDFA"/>
    <w:rsid w:val="59432A03"/>
    <w:rsid w:val="5A1C0CD2"/>
    <w:rsid w:val="5BEDFAAF"/>
    <w:rsid w:val="5C1BFBED"/>
    <w:rsid w:val="5E139E44"/>
    <w:rsid w:val="5E4B39C5"/>
    <w:rsid w:val="60917C8E"/>
    <w:rsid w:val="628A76D5"/>
    <w:rsid w:val="62E29092"/>
    <w:rsid w:val="63665FE5"/>
    <w:rsid w:val="63E21224"/>
    <w:rsid w:val="6450319A"/>
    <w:rsid w:val="646BF10A"/>
    <w:rsid w:val="65C86B50"/>
    <w:rsid w:val="66145294"/>
    <w:rsid w:val="661DDF7E"/>
    <w:rsid w:val="670C297C"/>
    <w:rsid w:val="67A0AC24"/>
    <w:rsid w:val="67CCD521"/>
    <w:rsid w:val="690AC85B"/>
    <w:rsid w:val="6986F10C"/>
    <w:rsid w:val="6AA08E44"/>
    <w:rsid w:val="6B23402B"/>
    <w:rsid w:val="6DECAE44"/>
    <w:rsid w:val="71235EA9"/>
    <w:rsid w:val="719DFCFA"/>
    <w:rsid w:val="7408301D"/>
    <w:rsid w:val="740A875E"/>
    <w:rsid w:val="75223359"/>
    <w:rsid w:val="7676197A"/>
    <w:rsid w:val="76888DAA"/>
    <w:rsid w:val="77367ED4"/>
    <w:rsid w:val="773C7407"/>
    <w:rsid w:val="777EE86C"/>
    <w:rsid w:val="7802682E"/>
    <w:rsid w:val="7926DFEC"/>
    <w:rsid w:val="7C320896"/>
    <w:rsid w:val="7D4F4169"/>
    <w:rsid w:val="7E2DC870"/>
    <w:rsid w:val="7FC74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10BC"/>
  <w15:chartTrackingRefBased/>
  <w15:docId w15:val="{64CD8005-2630-4BC9-840D-90A240C3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1A"/>
    <w:pPr>
      <w:tabs>
        <w:tab w:val="center" w:pos="4680"/>
        <w:tab w:val="right" w:pos="9360"/>
      </w:tabs>
    </w:pPr>
  </w:style>
  <w:style w:type="character" w:customStyle="1" w:styleId="HeaderChar">
    <w:name w:val="Header Char"/>
    <w:basedOn w:val="DefaultParagraphFont"/>
    <w:link w:val="Header"/>
    <w:uiPriority w:val="99"/>
    <w:rsid w:val="00C9421A"/>
  </w:style>
  <w:style w:type="paragraph" w:styleId="Footer">
    <w:name w:val="footer"/>
    <w:basedOn w:val="Normal"/>
    <w:link w:val="FooterChar"/>
    <w:uiPriority w:val="99"/>
    <w:unhideWhenUsed/>
    <w:rsid w:val="00C9421A"/>
    <w:pPr>
      <w:tabs>
        <w:tab w:val="center" w:pos="4680"/>
        <w:tab w:val="right" w:pos="9360"/>
      </w:tabs>
    </w:pPr>
  </w:style>
  <w:style w:type="character" w:customStyle="1" w:styleId="FooterChar">
    <w:name w:val="Footer Char"/>
    <w:basedOn w:val="DefaultParagraphFont"/>
    <w:link w:val="Footer"/>
    <w:uiPriority w:val="99"/>
    <w:rsid w:val="00C9421A"/>
  </w:style>
  <w:style w:type="paragraph" w:customStyle="1" w:styleId="06BodyCopy10pt">
    <w:name w:val="06 Body Copy 10pt"/>
    <w:basedOn w:val="Normal"/>
    <w:uiPriority w:val="99"/>
    <w:rsid w:val="0065766E"/>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266E09"/>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rsid w:val="003D2622"/>
    <w:pPr>
      <w:spacing w:after="160" w:line="259" w:lineRule="auto"/>
      <w:ind w:left="720"/>
      <w:contextualSpacing/>
    </w:pPr>
    <w:rPr>
      <w:sz w:val="22"/>
      <w:szCs w:val="22"/>
    </w:rPr>
  </w:style>
  <w:style w:type="paragraph" w:customStyle="1" w:styleId="KEYPOINT">
    <w:name w:val="KEY POINT"/>
    <w:basedOn w:val="BasicParagraph"/>
    <w:qFormat/>
    <w:rsid w:val="00EE1346"/>
    <w:pPr>
      <w:pBdr>
        <w:top w:val="single" w:sz="4" w:space="3" w:color="auto"/>
      </w:pBdr>
      <w:spacing w:before="120" w:after="227" w:line="240" w:lineRule="auto"/>
    </w:pPr>
    <w:rPr>
      <w:rFonts w:ascii="Arial" w:hAnsi="Arial" w:cs="Arial"/>
      <w:b/>
      <w:color w:val="C45911" w:themeColor="accent2" w:themeShade="BF"/>
      <w:sz w:val="28"/>
      <w:szCs w:val="28"/>
    </w:rPr>
  </w:style>
  <w:style w:type="character" w:styleId="Hyperlink">
    <w:name w:val="Hyperlink"/>
    <w:basedOn w:val="DefaultParagraphFont"/>
    <w:uiPriority w:val="99"/>
    <w:unhideWhenUsed/>
    <w:rsid w:val="00EE1346"/>
    <w:rPr>
      <w:color w:val="0563C1" w:themeColor="hyperlink"/>
      <w:u w:val="single"/>
    </w:rPr>
  </w:style>
  <w:style w:type="character" w:styleId="UnresolvedMention">
    <w:name w:val="Unresolved Mention"/>
    <w:basedOn w:val="DefaultParagraphFont"/>
    <w:uiPriority w:val="99"/>
    <w:semiHidden/>
    <w:unhideWhenUsed/>
    <w:rsid w:val="00EE1346"/>
    <w:rPr>
      <w:color w:val="605E5C"/>
      <w:shd w:val="clear" w:color="auto" w:fill="E1DFDD"/>
    </w:rPr>
  </w:style>
  <w:style w:type="table" w:styleId="TableGrid">
    <w:name w:val="Table Grid"/>
    <w:basedOn w:val="TableNormal"/>
    <w:uiPriority w:val="59"/>
    <w:rsid w:val="0050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12EA"/>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5012EA"/>
    <w:rPr>
      <w:rFonts w:ascii="Calibri" w:eastAsia="Calibri" w:hAnsi="Calibri" w:cs="Calibri"/>
      <w:sz w:val="22"/>
      <w:szCs w:val="22"/>
      <w:lang w:eastAsia="en-AU" w:bidi="en-AU"/>
    </w:rPr>
  </w:style>
  <w:style w:type="character" w:styleId="CommentReference">
    <w:name w:val="annotation reference"/>
    <w:basedOn w:val="DefaultParagraphFont"/>
    <w:uiPriority w:val="99"/>
    <w:semiHidden/>
    <w:unhideWhenUsed/>
    <w:rsid w:val="000B0ECD"/>
    <w:rPr>
      <w:sz w:val="16"/>
      <w:szCs w:val="16"/>
    </w:rPr>
  </w:style>
  <w:style w:type="paragraph" w:styleId="CommentText">
    <w:name w:val="annotation text"/>
    <w:basedOn w:val="Normal"/>
    <w:link w:val="CommentTextChar"/>
    <w:uiPriority w:val="99"/>
    <w:semiHidden/>
    <w:unhideWhenUsed/>
    <w:rsid w:val="000B0ECD"/>
    <w:rPr>
      <w:sz w:val="20"/>
      <w:szCs w:val="20"/>
    </w:rPr>
  </w:style>
  <w:style w:type="character" w:customStyle="1" w:styleId="CommentTextChar">
    <w:name w:val="Comment Text Char"/>
    <w:basedOn w:val="DefaultParagraphFont"/>
    <w:link w:val="CommentText"/>
    <w:uiPriority w:val="99"/>
    <w:semiHidden/>
    <w:rsid w:val="000B0ECD"/>
    <w:rPr>
      <w:sz w:val="20"/>
      <w:szCs w:val="20"/>
    </w:rPr>
  </w:style>
  <w:style w:type="paragraph" w:styleId="CommentSubject">
    <w:name w:val="annotation subject"/>
    <w:basedOn w:val="CommentText"/>
    <w:next w:val="CommentText"/>
    <w:link w:val="CommentSubjectChar"/>
    <w:uiPriority w:val="99"/>
    <w:semiHidden/>
    <w:unhideWhenUsed/>
    <w:rsid w:val="000B0ECD"/>
    <w:rPr>
      <w:b/>
      <w:bCs/>
    </w:rPr>
  </w:style>
  <w:style w:type="character" w:customStyle="1" w:styleId="CommentSubjectChar">
    <w:name w:val="Comment Subject Char"/>
    <w:basedOn w:val="CommentTextChar"/>
    <w:link w:val="CommentSubject"/>
    <w:uiPriority w:val="99"/>
    <w:semiHidden/>
    <w:rsid w:val="000B0ECD"/>
    <w:rPr>
      <w:b/>
      <w:bCs/>
      <w:sz w:val="20"/>
      <w:szCs w:val="20"/>
    </w:rPr>
  </w:style>
  <w:style w:type="paragraph" w:styleId="BalloonText">
    <w:name w:val="Balloon Text"/>
    <w:basedOn w:val="Normal"/>
    <w:link w:val="BalloonTextChar"/>
    <w:uiPriority w:val="99"/>
    <w:semiHidden/>
    <w:unhideWhenUsed/>
    <w:rsid w:val="000B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CD"/>
    <w:rPr>
      <w:rFonts w:ascii="Segoe UI" w:hAnsi="Segoe UI" w:cs="Segoe UI"/>
      <w:sz w:val="18"/>
      <w:szCs w:val="18"/>
    </w:rPr>
  </w:style>
  <w:style w:type="paragraph" w:customStyle="1" w:styleId="Default">
    <w:name w:val="Default"/>
    <w:rsid w:val="00CE330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9168">
      <w:bodyDiv w:val="1"/>
      <w:marLeft w:val="0"/>
      <w:marRight w:val="0"/>
      <w:marTop w:val="0"/>
      <w:marBottom w:val="0"/>
      <w:divBdr>
        <w:top w:val="none" w:sz="0" w:space="0" w:color="auto"/>
        <w:left w:val="none" w:sz="0" w:space="0" w:color="auto"/>
        <w:bottom w:val="none" w:sz="0" w:space="0" w:color="auto"/>
        <w:right w:val="none" w:sz="0" w:space="0" w:color="auto"/>
      </w:divBdr>
    </w:div>
    <w:div w:id="1496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ingrowers.com.au/graingrowers-carbon-calculator-re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aingrowers.com.au/graingrowers-climate-change-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raingrowers.com.au/policy/national-policy-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GA-FILES01\Office\Form%20Documents\2020%20GrainGrowers%20collateral\National%20Policy%20Group" TargetMode="External"/><Relationship Id="rId5" Type="http://schemas.openxmlformats.org/officeDocument/2006/relationships/numbering" Target="numbering.xml"/><Relationship Id="rId15" Type="http://schemas.openxmlformats.org/officeDocument/2006/relationships/hyperlink" Target="mailto:enquiry@graingrowers.com.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ingrowers.com.au/graingrowers-pre-budget-submission-2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45FA6770588C4F82BA726421242453" ma:contentTypeVersion="4" ma:contentTypeDescription="Create a new document." ma:contentTypeScope="" ma:versionID="c5ab445d90d356e095576461504d8968">
  <xsd:schema xmlns:xsd="http://www.w3.org/2001/XMLSchema" xmlns:xs="http://www.w3.org/2001/XMLSchema" xmlns:p="http://schemas.microsoft.com/office/2006/metadata/properties" xmlns:ns2="c7776c2b-ffc9-4fcb-a05a-8bdf39cd7161" targetNamespace="http://schemas.microsoft.com/office/2006/metadata/properties" ma:root="true" ma:fieldsID="13c84b604b907ef6fd5534a8f42b9af8" ns2:_="">
    <xsd:import namespace="c7776c2b-ffc9-4fcb-a05a-8bdf39cd7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76c2b-ffc9-4fcb-a05a-8bdf39cd7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8D45C-EA26-4E88-9695-4C2752C90E2C}">
  <ds:schemaRefs>
    <ds:schemaRef ds:uri="http://schemas.openxmlformats.org/officeDocument/2006/bibliography"/>
  </ds:schemaRefs>
</ds:datastoreItem>
</file>

<file path=customXml/itemProps2.xml><?xml version="1.0" encoding="utf-8"?>
<ds:datastoreItem xmlns:ds="http://schemas.openxmlformats.org/officeDocument/2006/customXml" ds:itemID="{908B74B0-FA00-4673-ABA1-934E54D1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76c2b-ffc9-4fcb-a05a-8bdf39cd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59B72-659D-4AA1-8867-055CAD4ED90B}">
  <ds:schemaRefs>
    <ds:schemaRef ds:uri="http://schemas.microsoft.com/sharepoint/v3/contenttype/forms"/>
  </ds:schemaRefs>
</ds:datastoreItem>
</file>

<file path=customXml/itemProps4.xml><?xml version="1.0" encoding="utf-8"?>
<ds:datastoreItem xmlns:ds="http://schemas.openxmlformats.org/officeDocument/2006/customXml" ds:itemID="{5B44EC37-2A64-431F-BB5B-8FFFCD71F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Links>
    <vt:vector size="36" baseType="variant">
      <vt:variant>
        <vt:i4>4980810</vt:i4>
      </vt:variant>
      <vt:variant>
        <vt:i4>15</vt:i4>
      </vt:variant>
      <vt:variant>
        <vt:i4>0</vt:i4>
      </vt:variant>
      <vt:variant>
        <vt:i4>5</vt:i4>
      </vt:variant>
      <vt:variant>
        <vt:lpwstr>https://www.graingrowers.com.au/policy/national-policy-group/</vt:lpwstr>
      </vt:variant>
      <vt:variant>
        <vt:lpwstr/>
      </vt:variant>
      <vt:variant>
        <vt:i4>6488073</vt:i4>
      </vt:variant>
      <vt:variant>
        <vt:i4>12</vt:i4>
      </vt:variant>
      <vt:variant>
        <vt:i4>0</vt:i4>
      </vt:variant>
      <vt:variant>
        <vt:i4>5</vt:i4>
      </vt:variant>
      <vt:variant>
        <vt:lpwstr>mailto:enquiry@graingrowers.com.au</vt:lpwstr>
      </vt:variant>
      <vt:variant>
        <vt:lpwstr/>
      </vt:variant>
      <vt:variant>
        <vt:i4>2293813</vt:i4>
      </vt:variant>
      <vt:variant>
        <vt:i4>9</vt:i4>
      </vt:variant>
      <vt:variant>
        <vt:i4>0</vt:i4>
      </vt:variant>
      <vt:variant>
        <vt:i4>5</vt:i4>
      </vt:variant>
      <vt:variant>
        <vt:lpwstr>https://www.graingrowers.com.au/graingrowers-pre-budget-submission-2020-21/</vt:lpwstr>
      </vt:variant>
      <vt:variant>
        <vt:lpwstr/>
      </vt:variant>
      <vt:variant>
        <vt:i4>7077949</vt:i4>
      </vt:variant>
      <vt:variant>
        <vt:i4>6</vt:i4>
      </vt:variant>
      <vt:variant>
        <vt:i4>0</vt:i4>
      </vt:variant>
      <vt:variant>
        <vt:i4>5</vt:i4>
      </vt:variant>
      <vt:variant>
        <vt:lpwstr>https://www.graingrowers.com.au/graingrowers-carbon-calculator-report/</vt:lpwstr>
      </vt:variant>
      <vt:variant>
        <vt:lpwstr/>
      </vt:variant>
      <vt:variant>
        <vt:i4>3211315</vt:i4>
      </vt:variant>
      <vt:variant>
        <vt:i4>3</vt:i4>
      </vt:variant>
      <vt:variant>
        <vt:i4>0</vt:i4>
      </vt:variant>
      <vt:variant>
        <vt:i4>5</vt:i4>
      </vt:variant>
      <vt:variant>
        <vt:lpwstr>https://www.graingrowers.com.au/graingrowers-climate-change-policy/</vt:lpwstr>
      </vt:variant>
      <vt:variant>
        <vt:lpwstr/>
      </vt:variant>
      <vt:variant>
        <vt:i4>1703952</vt:i4>
      </vt:variant>
      <vt:variant>
        <vt:i4>0</vt:i4>
      </vt:variant>
      <vt:variant>
        <vt:i4>0</vt:i4>
      </vt:variant>
      <vt:variant>
        <vt:i4>5</vt:i4>
      </vt:variant>
      <vt:variant>
        <vt:lpwstr>\\GGA-FILES01\Office\Form Documents\2020 GrainGrowers collateral\National Policy 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Reid</cp:lastModifiedBy>
  <cp:revision>2</cp:revision>
  <dcterms:created xsi:type="dcterms:W3CDTF">2020-10-02T00:08:00Z</dcterms:created>
  <dcterms:modified xsi:type="dcterms:W3CDTF">2020-10-02T00:08:00Z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0x0101006B45FA6770588C4F82BA726421242453</vt:lpwstr>
  </property>
</Properties>
</file>