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E4AE" w14:textId="77777777" w:rsidR="003A52E9" w:rsidRDefault="003A52E9">
      <w:pPr>
        <w:pStyle w:val="BodyText"/>
        <w:spacing w:before="204"/>
        <w:ind w:left="0"/>
        <w:jc w:val="left"/>
        <w:rPr>
          <w:sz w:val="24"/>
        </w:rPr>
      </w:pPr>
    </w:p>
    <w:p w14:paraId="63FDE4AF" w14:textId="77777777" w:rsidR="003A52E9" w:rsidRDefault="00135F11">
      <w:pPr>
        <w:pStyle w:val="Heading2"/>
        <w:ind w:left="7914" w:right="356" w:firstLine="693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FDE4BE" wp14:editId="63FDE4BF">
            <wp:simplePos x="0" y="0"/>
            <wp:positionH relativeFrom="page">
              <wp:posOffset>902332</wp:posOffset>
            </wp:positionH>
            <wp:positionV relativeFrom="paragraph">
              <wp:posOffset>-302297</wp:posOffset>
            </wp:positionV>
            <wp:extent cx="1092841" cy="70020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41" cy="700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Orical</w:t>
      </w:r>
      <w:r>
        <w:rPr>
          <w:spacing w:val="-15"/>
        </w:rPr>
        <w:t xml:space="preserve"> </w:t>
      </w:r>
      <w:r>
        <w:t>LLC September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63FDE4B0" w14:textId="77777777" w:rsidR="003A52E9" w:rsidRDefault="00135F11">
      <w:pPr>
        <w:pStyle w:val="Title"/>
      </w:pPr>
      <w:r>
        <w:t>Marketing</w:t>
      </w:r>
      <w:r>
        <w:rPr>
          <w:spacing w:val="-5"/>
        </w:rPr>
        <w:t xml:space="preserve"> </w:t>
      </w:r>
      <w:r>
        <w:t>Rule</w:t>
      </w:r>
      <w:r>
        <w:rPr>
          <w:spacing w:val="-10"/>
        </w:rPr>
        <w:t xml:space="preserve"> </w:t>
      </w:r>
      <w:r>
        <w:t>Violations</w:t>
      </w:r>
      <w:r>
        <w:rPr>
          <w:spacing w:val="-4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rPr>
          <w:spacing w:val="-2"/>
        </w:rPr>
        <w:t>Strong!</w:t>
      </w:r>
    </w:p>
    <w:p w14:paraId="63FDE4B1" w14:textId="77777777" w:rsidR="003A52E9" w:rsidRDefault="00135F11">
      <w:pPr>
        <w:pStyle w:val="Heading1"/>
        <w:spacing w:before="216"/>
      </w:pPr>
      <w:r>
        <w:t>Marketing</w:t>
      </w:r>
      <w:r>
        <w:rPr>
          <w:spacing w:val="-18"/>
        </w:rPr>
        <w:t xml:space="preserve"> </w:t>
      </w:r>
      <w:r>
        <w:t>Rule</w:t>
      </w:r>
      <w:r>
        <w:rPr>
          <w:spacing w:val="-17"/>
        </w:rPr>
        <w:t xml:space="preserve"> </w:t>
      </w:r>
      <w:r>
        <w:t>Violations</w:t>
      </w:r>
      <w:r>
        <w:rPr>
          <w:spacing w:val="-16"/>
        </w:rPr>
        <w:t xml:space="preserve"> </w:t>
      </w:r>
      <w:r>
        <w:rPr>
          <w:spacing w:val="-2"/>
        </w:rPr>
        <w:t>Continue</w:t>
      </w:r>
    </w:p>
    <w:p w14:paraId="63FDE4B2" w14:textId="77777777" w:rsidR="003A52E9" w:rsidRDefault="00135F11">
      <w:pPr>
        <w:pStyle w:val="BodyText"/>
        <w:spacing w:line="278" w:lineRule="auto"/>
        <w:ind w:right="359"/>
      </w:pPr>
      <w:r>
        <w:t>The SEC’s enforcement focus on adviser marketing remains strong. Last week, a registered investment adviser was sanctioned for statements on its website that the agency found to be misleading.</w:t>
      </w:r>
    </w:p>
    <w:p w14:paraId="63FDE4B3" w14:textId="77777777" w:rsidR="003A52E9" w:rsidRDefault="00135F11">
      <w:pPr>
        <w:pStyle w:val="Heading1"/>
        <w:spacing w:before="182"/>
      </w:pPr>
      <w:r>
        <w:t>What</w:t>
      </w:r>
      <w:r>
        <w:rPr>
          <w:spacing w:val="-7"/>
        </w:rPr>
        <w:t xml:space="preserve"> </w:t>
      </w:r>
      <w:r>
        <w:rPr>
          <w:spacing w:val="-2"/>
        </w:rPr>
        <w:t>happened:</w:t>
      </w:r>
    </w:p>
    <w:p w14:paraId="63FDE4B4" w14:textId="77777777" w:rsidR="003A52E9" w:rsidRDefault="00135F11">
      <w:pPr>
        <w:pStyle w:val="BodyText"/>
        <w:spacing w:before="228" w:line="278" w:lineRule="auto"/>
        <w:ind w:right="354" w:hanging="1"/>
      </w:pPr>
      <w:r>
        <w:t>In an administrative action dated September 4, 2025, the SEC found the registered investment adviser violated the Marketing Rule by claiming on its public website that it “refuse[d] all conflicts of interest.” This was inconsistent with the investment adviser’s own Form</w:t>
      </w:r>
      <w:r>
        <w:rPr>
          <w:spacing w:val="-9"/>
        </w:rPr>
        <w:t xml:space="preserve"> </w:t>
      </w:r>
      <w:r>
        <w:t>ADV Part 2A</w:t>
      </w:r>
      <w:r>
        <w:rPr>
          <w:spacing w:val="-7"/>
        </w:rPr>
        <w:t xml:space="preserve"> </w:t>
      </w:r>
      <w:r>
        <w:t>Brochure, in which the firm disclosed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certain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investment</w:t>
      </w:r>
      <w:r>
        <w:rPr>
          <w:spacing w:val="-12"/>
        </w:rPr>
        <w:t xml:space="preserve"> </w:t>
      </w:r>
      <w:r>
        <w:t>adviser</w:t>
      </w:r>
      <w:r>
        <w:rPr>
          <w:spacing w:val="-12"/>
        </w:rPr>
        <w:t xml:space="preserve"> </w:t>
      </w:r>
      <w:r>
        <w:t>representatives</w:t>
      </w:r>
      <w:r>
        <w:rPr>
          <w:spacing w:val="-12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licensed</w:t>
      </w:r>
      <w:r>
        <w:rPr>
          <w:spacing w:val="-11"/>
        </w:rPr>
        <w:t xml:space="preserve"> </w:t>
      </w:r>
      <w:r>
        <w:t>insurance</w:t>
      </w:r>
      <w:r>
        <w:rPr>
          <w:spacing w:val="-12"/>
        </w:rPr>
        <w:t xml:space="preserve"> </w:t>
      </w:r>
      <w:r>
        <w:t>agents</w:t>
      </w:r>
      <w:r>
        <w:rPr>
          <w:spacing w:val="-12"/>
        </w:rPr>
        <w:t xml:space="preserve"> </w:t>
      </w:r>
      <w:r>
        <w:t>affiliated 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firm,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earn</w:t>
      </w:r>
      <w:r>
        <w:rPr>
          <w:spacing w:val="-4"/>
        </w:rPr>
        <w:t xml:space="preserve"> </w:t>
      </w:r>
      <w:r>
        <w:t>commissions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products,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inherent</w:t>
      </w:r>
      <w:r>
        <w:rPr>
          <w:spacing w:val="-5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interest.</w:t>
      </w:r>
    </w:p>
    <w:p w14:paraId="63FDE4B5" w14:textId="77777777" w:rsidR="003A52E9" w:rsidRDefault="00135F11">
      <w:pPr>
        <w:pStyle w:val="Heading1"/>
      </w:pPr>
      <w:r>
        <w:t>Why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2"/>
        </w:rPr>
        <w:t>matters:</w:t>
      </w:r>
    </w:p>
    <w:p w14:paraId="63FDE4B6" w14:textId="77777777" w:rsidR="003A52E9" w:rsidRDefault="00135F11">
      <w:pPr>
        <w:pStyle w:val="BodyText"/>
        <w:spacing w:before="229" w:line="278" w:lineRule="auto"/>
        <w:ind w:right="354"/>
      </w:pPr>
      <w:r>
        <w:t>This was more than imprecise language. Under Rule 206(4)-1(a)(2), advisers may not make material statements in advertisements without a reasonable, verifiable basis. Because the website qualified as an “advertisement,” the investment adviser was required to substantiate its claim but failed to do so.</w:t>
      </w:r>
    </w:p>
    <w:p w14:paraId="63FDE4B7" w14:textId="77777777" w:rsidR="003A52E9" w:rsidRDefault="00135F11">
      <w:pPr>
        <w:pStyle w:val="Heading1"/>
        <w:spacing w:before="181"/>
      </w:pPr>
      <w:r>
        <w:t>Books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rPr>
          <w:spacing w:val="-2"/>
        </w:rPr>
        <w:t>Reminder:</w:t>
      </w:r>
    </w:p>
    <w:p w14:paraId="63FDE4B8" w14:textId="77777777" w:rsidR="003A52E9" w:rsidRDefault="00135F11">
      <w:pPr>
        <w:pStyle w:val="BodyText"/>
        <w:spacing w:line="278" w:lineRule="auto"/>
        <w:ind w:right="356"/>
      </w:pPr>
      <w:r>
        <w:t>The SEC also found the registered investment adviser failed to maintain accurate copies of its published advertisements, separately violating</w:t>
      </w:r>
      <w:r>
        <w:rPr>
          <w:spacing w:val="-2"/>
        </w:rPr>
        <w:t xml:space="preserve"> </w:t>
      </w:r>
      <w:r>
        <w:t>Advisers</w:t>
      </w:r>
      <w:r>
        <w:rPr>
          <w:spacing w:val="-2"/>
        </w:rPr>
        <w:t xml:space="preserve"> </w:t>
      </w:r>
      <w:r>
        <w:t>Act Section 204 and Rule 204-2.</w:t>
      </w:r>
    </w:p>
    <w:p w14:paraId="63FDE4B9" w14:textId="77777777" w:rsidR="003A52E9" w:rsidRDefault="00135F11">
      <w:pPr>
        <w:pStyle w:val="Heading1"/>
        <w:spacing w:before="180"/>
      </w:pPr>
      <w:r>
        <w:rPr>
          <w:spacing w:val="-2"/>
        </w:rPr>
        <w:t>Takeaways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Clients:</w:t>
      </w:r>
    </w:p>
    <w:p w14:paraId="63FDE4BA" w14:textId="77777777" w:rsidR="003A52E9" w:rsidRDefault="00135F11">
      <w:pPr>
        <w:pStyle w:val="BodyText"/>
        <w:spacing w:line="278" w:lineRule="auto"/>
        <w:ind w:right="356"/>
      </w:pPr>
      <w:r>
        <w:t>Even a single unqualified statement, however well-intentioned, can trigger enforcement. This action underscores the importance of reviewing marketing materials for accuracy, consistency with Form</w:t>
      </w:r>
      <w:r>
        <w:rPr>
          <w:spacing w:val="-8"/>
        </w:rPr>
        <w:t xml:space="preserve"> </w:t>
      </w:r>
      <w:r>
        <w:t>ADV, and proper record keeping.</w:t>
      </w:r>
    </w:p>
    <w:p w14:paraId="63FDE4BB" w14:textId="77777777" w:rsidR="003A52E9" w:rsidRDefault="00000000">
      <w:pPr>
        <w:spacing w:before="178"/>
        <w:ind w:left="360"/>
        <w:rPr>
          <w:b/>
          <w:i/>
          <w:sz w:val="24"/>
        </w:rPr>
      </w:pPr>
      <w:hyperlink r:id="rId7" w:anchor="%3A%7E%3Atext%3DSeptember%204%2C%202025%20%E2%80%93%20The%20Securities%2CAdvisers%20Act%E2%80%9D)%20concerning%20marketing%2C">
        <w:r w:rsidR="00135F11">
          <w:rPr>
            <w:b/>
            <w:i/>
            <w:color w:val="467885"/>
            <w:sz w:val="24"/>
            <w:u w:val="single" w:color="467885"/>
          </w:rPr>
          <w:t>Read</w:t>
        </w:r>
        <w:r w:rsidR="00135F11">
          <w:rPr>
            <w:b/>
            <w:i/>
            <w:color w:val="467885"/>
            <w:spacing w:val="-1"/>
            <w:sz w:val="24"/>
            <w:u w:val="single" w:color="467885"/>
          </w:rPr>
          <w:t xml:space="preserve"> </w:t>
        </w:r>
        <w:r w:rsidR="00135F11">
          <w:rPr>
            <w:b/>
            <w:i/>
            <w:color w:val="467885"/>
            <w:sz w:val="24"/>
            <w:u w:val="single" w:color="467885"/>
          </w:rPr>
          <w:t xml:space="preserve">More </w:t>
        </w:r>
        <w:r w:rsidR="00135F11">
          <w:rPr>
            <w:b/>
            <w:i/>
            <w:color w:val="467885"/>
            <w:spacing w:val="-4"/>
            <w:sz w:val="24"/>
            <w:u w:val="single" w:color="467885"/>
          </w:rPr>
          <w:t>Here</w:t>
        </w:r>
      </w:hyperlink>
    </w:p>
    <w:p w14:paraId="63FDE4BC" w14:textId="77777777" w:rsidR="003A52E9" w:rsidRDefault="00135F11">
      <w:pPr>
        <w:pStyle w:val="Heading1"/>
        <w:spacing w:before="226"/>
      </w:pPr>
      <w:r>
        <w:t>About</w:t>
      </w:r>
      <w:r>
        <w:rPr>
          <w:spacing w:val="-9"/>
        </w:rPr>
        <w:t xml:space="preserve"> </w:t>
      </w:r>
      <w:r>
        <w:rPr>
          <w:spacing w:val="-2"/>
        </w:rPr>
        <w:t>Orical:</w:t>
      </w:r>
    </w:p>
    <w:p w14:paraId="63FDE4BD" w14:textId="0CD3EACC" w:rsidR="003A52E9" w:rsidRDefault="00135F11">
      <w:pPr>
        <w:pStyle w:val="BodyText"/>
        <w:spacing w:line="278" w:lineRule="auto"/>
        <w:ind w:left="359" w:right="357"/>
      </w:pPr>
      <w:r>
        <w:t>Orical is an industry leading regulatory and compliance consulting firm run by investment management attorneys and former in-house C-Suite officers at top level investment advisers.</w:t>
      </w:r>
      <w:r>
        <w:rPr>
          <w:spacing w:val="40"/>
        </w:rPr>
        <w:t xml:space="preserve"> </w:t>
      </w:r>
      <w:r>
        <w:t xml:space="preserve">For 15 years, </w:t>
      </w:r>
      <w:proofErr w:type="spellStart"/>
      <w:r w:rsidR="0050661C">
        <w:t>Orical</w:t>
      </w:r>
      <w:proofErr w:type="spellEnd"/>
      <w:r w:rsidR="0050661C">
        <w:t xml:space="preserve"> has</w:t>
      </w:r>
      <w:r>
        <w:t xml:space="preserve"> built a reputation of providing practical advice and business friendly solutions to complicated compliance and operational requirements.</w:t>
      </w:r>
    </w:p>
    <w:sectPr w:rsidR="003A52E9">
      <w:footerReference w:type="default" r:id="rId8"/>
      <w:type w:val="continuous"/>
      <w:pgSz w:w="12240" w:h="15840"/>
      <w:pgMar w:top="240" w:right="1080" w:bottom="1260" w:left="1080" w:header="0" w:footer="10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7846B" w14:textId="77777777" w:rsidR="00244F6F" w:rsidRDefault="00244F6F">
      <w:r>
        <w:separator/>
      </w:r>
    </w:p>
  </w:endnote>
  <w:endnote w:type="continuationSeparator" w:id="0">
    <w:p w14:paraId="62817769" w14:textId="77777777" w:rsidR="00244F6F" w:rsidRDefault="0024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DE4C0" w14:textId="77777777" w:rsidR="003A52E9" w:rsidRDefault="00135F11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1216" behindDoc="1" locked="0" layoutInCell="1" allowOverlap="1" wp14:anchorId="63FDE4C1" wp14:editId="63FDE4C2">
              <wp:simplePos x="0" y="0"/>
              <wp:positionH relativeFrom="page">
                <wp:posOffset>3835400</wp:posOffset>
              </wp:positionH>
              <wp:positionV relativeFrom="page">
                <wp:posOffset>9234000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FDE4C3" w14:textId="77777777" w:rsidR="003A52E9" w:rsidRDefault="00135F1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DE4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pt;margin-top:727.1pt;width:8pt;height:15.3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" filled="f" stroked="f">
              <v:textbox inset="0,0,0,0">
                <w:txbxContent>
                  <w:p w14:paraId="63FDE4C3" w14:textId="77777777" w:rsidR="003A52E9" w:rsidRDefault="00135F1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022B" w14:textId="77777777" w:rsidR="00244F6F" w:rsidRDefault="00244F6F">
      <w:r>
        <w:separator/>
      </w:r>
    </w:p>
  </w:footnote>
  <w:footnote w:type="continuationSeparator" w:id="0">
    <w:p w14:paraId="291091BE" w14:textId="77777777" w:rsidR="00244F6F" w:rsidRDefault="0024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E9"/>
    <w:rsid w:val="00135F11"/>
    <w:rsid w:val="00244F6F"/>
    <w:rsid w:val="003A52E9"/>
    <w:rsid w:val="005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E4AE"/>
  <w15:docId w15:val="{DBC0F6A2-A7A1-4481-8ADC-4E9F9172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9"/>
      <w:ind w:left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0"/>
      <w:ind w:left="360"/>
      <w:jc w:val="both"/>
    </w:pPr>
  </w:style>
  <w:style w:type="paragraph" w:styleId="Title">
    <w:name w:val="Title"/>
    <w:basedOn w:val="Normal"/>
    <w:uiPriority w:val="10"/>
    <w:qFormat/>
    <w:pPr>
      <w:spacing w:before="167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ec.gov/enforcement-litigation/administrative-proceedings/ia-6916-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1917</Characters>
  <Application>Microsoft Office Word</Application>
  <DocSecurity>0</DocSecurity>
  <Lines>34</Lines>
  <Paragraphs>17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Leahy</dc:creator>
  <dc:description/>
  <cp:lastModifiedBy>Zabelle Aslanian</cp:lastModifiedBy>
  <cp:revision>3</cp:revision>
  <dcterms:created xsi:type="dcterms:W3CDTF">2025-09-09T14:36:00Z</dcterms:created>
  <dcterms:modified xsi:type="dcterms:W3CDTF">2025-09-09T15:43:00Z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0x010100B541797272747449811988559552C376</vt:lpwstr>
  </property>
  <property fmtid="{D5CDD505-2E9C-101B-9397-08002B2CF9AE}" pid="3" name="Created">
    <vt:filetime>2025-09-09T00:00:00Z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2025-09-09T00:00:00Z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25.1.150</vt:lpwstr>
  </property>
  <property fmtid="{D5CDD505-2E9C-101B-9397-08002B2CF9AE}" pid="8" name="SourceModified">
    <vt:lpwstr/>
  </property>
</Properties>
</file>