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after="120"/>
      </w:pPr>
      <w:r>
        <w:rPr>
          <w:color w:val="6400A0"/>
        </w:rPr>
        <w:t>Training ROI Calculation Worksheet</w:t>
      </w:r>
    </w:p>
    <w:p>
      <w:pPr>
        <w:spacing w:after="120"/>
      </w:pPr>
      <w:r>
        <w:t>Use this worksheet to document one programme’s benefit, attribution assumptions and full cost list before presenting its ROI. The filled depot example is hypothetical. This is a Coursebox planning aid, not a validated evaluation instrument; arithmetic cannot establish causality.</w:t>
      </w:r>
    </w:p>
    <w:p>
      <w:pPr>
        <w:spacing w:after="120"/>
      </w:pPr>
      <w:r>
        <w:t>From the Coursebox blog: coursebox.ai/blog/training-roi</w:t>
      </w:r>
    </w:p>
    <w:p>
      <w:pPr>
        <w:pStyle w:val="Heading1"/>
        <w:spacing w:after="120"/>
      </w:pPr>
      <w:r>
        <w:rPr>
          <w:color w:val="6400A0"/>
        </w:rPr>
        <w:t>The depot example</w:t>
      </w:r>
    </w:p>
    <w:p>
      <w:pPr>
        <w:spacing w:after="120"/>
      </w:pPr>
      <w:r>
        <w:t>A refrigerated freight company trains 60 drivers at Depot A. Depot B is not trained for the first six months. The comparison estimates a saving of 1.6 litres per 100 km, subject to route, fleet, load and trend assumptions. Year-one benefits count 54 retaining drivers, each driving 150,000 km, evenly split across the two half-years.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80"/>
            <w:shd w:fill="6400A0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r>
              <w:rPr>
                <w:b/>
                <w:color w:val="FFFFFF"/>
                <w:sz w:val="20"/>
              </w:rPr>
              <w:t>Calculation</w:t>
            </w:r>
          </w:p>
        </w:tc>
        <w:tc>
          <w:tcPr>
            <w:tcW w:type="dxa" w:w="6984"/>
            <w:shd w:fill="6400A0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r>
              <w:rPr>
                <w:b/>
                <w:color w:val="FFFFFF"/>
                <w:sz w:val="20"/>
              </w:rPr>
              <w:t>Illustrative input or result</w:t>
            </w:r>
          </w:p>
        </w:tc>
      </w:tr>
      <w:tr>
        <w:tc>
          <w:tcPr>
            <w:tcW w:type="dxa" w:w="2880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First six months</w:t>
            </w:r>
          </w:p>
        </w:tc>
        <w:tc>
          <w:tcPr>
            <w:tcW w:type="dxa" w:w="6984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1.6 L per 100 km saving; comparison estimate</w:t>
            </w:r>
          </w:p>
        </w:tc>
      </w:tr>
      <w:tr>
        <w:tc>
          <w:tcPr>
            <w:tcW w:type="dxa" w:w="2880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Second six months</w:t>
            </w:r>
          </w:p>
        </w:tc>
        <w:tc>
          <w:tcPr>
            <w:tcW w:type="dxa" w:w="6984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0.8 L per 100 km saving; assumed fade, not observed</w:t>
            </w:r>
          </w:p>
        </w:tc>
      </w:tr>
      <w:tr>
        <w:tc>
          <w:tcPr>
            <w:tcW w:type="dxa" w:w="2880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Distance counted</w:t>
            </w:r>
          </w:p>
        </w:tc>
        <w:tc>
          <w:tcPr>
            <w:tcW w:type="dxa" w:w="6984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54 × 150,000 = 8,100,000 km</w:t>
            </w:r>
          </w:p>
        </w:tc>
      </w:tr>
      <w:tr>
        <w:tc>
          <w:tcPr>
            <w:tcW w:type="dxa" w:w="2880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Litres saved</w:t>
            </w:r>
          </w:p>
        </w:tc>
        <w:tc>
          <w:tcPr>
            <w:tcW w:type="dxa" w:w="6984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8,100,000 ÷ 100 × 1.2 = 97,200 L</w:t>
            </w:r>
          </w:p>
        </w:tc>
      </w:tr>
      <w:tr>
        <w:tc>
          <w:tcPr>
            <w:tcW w:type="dxa" w:w="2880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Monetary benefit</w:t>
            </w:r>
          </w:p>
        </w:tc>
        <w:tc>
          <w:tcPr>
            <w:tcW w:type="dxa" w:w="6984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97,200 × $1.60 net fuel cost = $155,520</w:t>
            </w:r>
          </w:p>
        </w:tc>
      </w:tr>
      <w:tr>
        <w:tc>
          <w:tcPr>
            <w:tcW w:type="dxa" w:w="2880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Programme costs</w:t>
            </w:r>
          </w:p>
        </w:tc>
        <w:tc>
          <w:tcPr>
            <w:tcW w:type="dxa" w:w="6984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$65,650; all 60 drivers’ training costs retained</w:t>
            </w:r>
          </w:p>
        </w:tc>
      </w:tr>
      <w:tr>
        <w:tc>
          <w:tcPr>
            <w:tcW w:type="dxa" w:w="2880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Net benefit</w:t>
            </w:r>
          </w:p>
        </w:tc>
        <w:tc>
          <w:tcPr>
            <w:tcW w:type="dxa" w:w="6984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$155,520 minus $65,650 = $89,870</w:t>
            </w:r>
          </w:p>
        </w:tc>
      </w:tr>
      <w:tr>
        <w:tc>
          <w:tcPr>
            <w:tcW w:type="dxa" w:w="2880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ROI</w:t>
            </w:r>
          </w:p>
        </w:tc>
        <w:tc>
          <w:tcPr>
            <w:tcW w:type="dxa" w:w="6984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$89,870 ÷ $65,650 × 100 = 136.9%, about 137%</w:t>
            </w:r>
          </w:p>
        </w:tc>
      </w:tr>
      <w:tr>
        <w:tc>
          <w:tcPr>
            <w:tcW w:type="dxa" w:w="2880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Benefit-cost ratio</w:t>
            </w:r>
          </w:p>
        </w:tc>
        <w:tc>
          <w:tcPr>
            <w:tcW w:type="dxa" w:w="6984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$155,520 ÷ $65,650 = 2.37</w:t>
            </w:r>
          </w:p>
        </w:tc>
      </w:tr>
      <w:tr>
        <w:tc>
          <w:tcPr>
            <w:tcW w:type="dxa" w:w="2880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Payback</w:t>
            </w:r>
          </w:p>
        </w:tc>
        <w:tc>
          <w:tcPr>
            <w:tcW w:type="dxa" w:w="6984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About 3.8 months if all costs precede benefits and first-half savings accrue evenly</w:t>
            </w:r>
          </w:p>
        </w:tc>
      </w:tr>
    </w:tbl>
    <w:p>
      <w:pPr>
        <w:spacing w:after="120"/>
      </w:pPr>
    </w:p>
    <w:p>
      <w:pPr>
        <w:spacing w:after="120"/>
      </w:pPr>
      <w:r>
        <w:t>Check: ROI = (benefit-cost ratio minus 1) × 100. This example excludes unrecorded benefits from six leavers. Recorded savings before departure could be included in a real study.</w:t>
      </w:r>
    </w:p>
    <w:p>
      <w:r>
        <w:br w:type="page"/>
      </w:r>
    </w:p>
    <w:p>
      <w:pPr>
        <w:pStyle w:val="Heading1"/>
        <w:spacing w:after="120"/>
      </w:pPr>
      <w:r>
        <w:rPr>
          <w:color w:val="6400A0"/>
        </w:rPr>
        <w:t>Record the assumptions and costs</w:t>
      </w:r>
    </w:p>
    <w:p>
      <w:pPr>
        <w:spacing w:after="120"/>
      </w:pPr>
      <w:r>
        <w:t>Depot B is trained after month 6, so the untreated comparison ends. The second half is a forecast. A confidence-adjusted estimate is a heuristic, not a statistical confidence interval. Fuel targets never override safe driving, refrigeration requirements or task procedures.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6984"/>
            <w:shd w:fill="6400A0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r>
              <w:rPr>
                <w:b/>
                <w:color w:val="FFFFFF"/>
                <w:sz w:val="20"/>
              </w:rPr>
              <w:t>Cost line</w:t>
            </w:r>
          </w:p>
        </w:tc>
        <w:tc>
          <w:tcPr>
            <w:tcW w:type="dxa" w:w="2880"/>
            <w:shd w:fill="6400A0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r>
              <w:rPr>
                <w:b/>
                <w:color w:val="FFFFFF"/>
                <w:sz w:val="20"/>
              </w:rPr>
              <w:t>Example amount</w:t>
            </w:r>
          </w:p>
        </w:tc>
      </w:tr>
      <w:tr>
        <w:tc>
          <w:tcPr>
            <w:tcW w:type="dxa" w:w="6984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Needs assessment</w:t>
            </w:r>
          </w:p>
        </w:tc>
        <w:tc>
          <w:tcPr>
            <w:tcW w:type="dxa" w:w="2880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$4,000</w:t>
            </w:r>
          </w:p>
        </w:tc>
      </w:tr>
      <w:tr>
        <w:tc>
          <w:tcPr>
            <w:tcW w:type="dxa" w:w="6984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Design and development</w:t>
            </w:r>
          </w:p>
        </w:tc>
        <w:tc>
          <w:tcPr>
            <w:tcW w:type="dxa" w:w="2880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$12,000</w:t>
            </w:r>
          </w:p>
        </w:tc>
      </w:tr>
      <w:tr>
        <w:tc>
          <w:tcPr>
            <w:tcW w:type="dxa" w:w="6984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Classroom delivery</w:t>
            </w:r>
          </w:p>
        </w:tc>
        <w:tc>
          <w:tcPr>
            <w:tcW w:type="dxa" w:w="2880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$7,200</w:t>
            </w:r>
          </w:p>
        </w:tc>
      </w:tr>
      <w:tr>
        <w:tc>
          <w:tcPr>
            <w:tcW w:type="dxa" w:w="6984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Driver trainer on coaching rides</w:t>
            </w:r>
          </w:p>
        </w:tc>
        <w:tc>
          <w:tcPr>
            <w:tcW w:type="dxa" w:w="2880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$11,700</w:t>
            </w:r>
          </w:p>
        </w:tc>
      </w:tr>
      <w:tr>
        <w:tc>
          <w:tcPr>
            <w:tcW w:type="dxa" w:w="6984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Driver time in classroom and online</w:t>
            </w:r>
          </w:p>
        </w:tc>
        <w:tc>
          <w:tcPr>
            <w:tcW w:type="dxa" w:w="2880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$17,550</w:t>
            </w:r>
          </w:p>
        </w:tc>
      </w:tr>
      <w:tr>
        <w:tc>
          <w:tcPr>
            <w:tcW w:type="dxa" w:w="6984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Venue catering and materials</w:t>
            </w:r>
          </w:p>
        </w:tc>
        <w:tc>
          <w:tcPr>
            <w:tcW w:type="dxa" w:w="2880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$2,400</w:t>
            </w:r>
          </w:p>
        </w:tc>
      </w:tr>
      <w:tr>
        <w:tc>
          <w:tcPr>
            <w:tcW w:type="dxa" w:w="6984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Telematics set-up</w:t>
            </w:r>
          </w:p>
        </w:tc>
        <w:tc>
          <w:tcPr>
            <w:tcW w:type="dxa" w:w="2880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$1,500</w:t>
            </w:r>
          </w:p>
        </w:tc>
      </w:tr>
      <w:tr>
        <w:tc>
          <w:tcPr>
            <w:tcW w:type="dxa" w:w="6984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Online hosting</w:t>
            </w:r>
          </w:p>
        </w:tc>
        <w:tc>
          <w:tcPr>
            <w:tcW w:type="dxa" w:w="2880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$1,800</w:t>
            </w:r>
          </w:p>
        </w:tc>
      </w:tr>
      <w:tr>
        <w:tc>
          <w:tcPr>
            <w:tcW w:type="dxa" w:w="6984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Coordination</w:t>
            </w:r>
          </w:p>
        </w:tc>
        <w:tc>
          <w:tcPr>
            <w:tcW w:type="dxa" w:w="2880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$3,000</w:t>
            </w:r>
          </w:p>
        </w:tc>
      </w:tr>
      <w:tr>
        <w:tc>
          <w:tcPr>
            <w:tcW w:type="dxa" w:w="6984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Evaluation</w:t>
            </w:r>
          </w:p>
        </w:tc>
        <w:tc>
          <w:tcPr>
            <w:tcW w:type="dxa" w:w="2880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$4,500</w:t>
            </w:r>
          </w:p>
        </w:tc>
      </w:tr>
      <w:tr>
        <w:tc>
          <w:tcPr>
            <w:tcW w:type="dxa" w:w="6984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Total</w:t>
            </w:r>
          </w:p>
        </w:tc>
        <w:tc>
          <w:tcPr>
            <w:tcW w:type="dxa" w:w="2880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$65,650</w:t>
            </w:r>
          </w:p>
        </w:tc>
      </w:tr>
    </w:tbl>
    <w:p>
      <w:pPr>
        <w:spacing w:after="120"/>
      </w:pPr>
    </w:p>
    <w:p>
      <w:pPr>
        <w:spacing w:after="120"/>
      </w:pPr>
      <w:r>
        <w:t>The example excludes driver time on the coaching ride because freight work continues without lost productive time; trainer time is included. Count delays, extra mileage or displaced work if they occur. State the cost perspective and avoid treating unpaid learner time as valueless.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1008"/>
            <w:shd w:fill="6400A0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r>
              <w:rPr>
                <w:b/>
                <w:color w:val="FFFFFF"/>
                <w:sz w:val="20"/>
              </w:rPr>
              <w:t>Case</w:t>
            </w:r>
          </w:p>
        </w:tc>
        <w:tc>
          <w:tcPr>
            <w:tcW w:type="dxa" w:w="7128"/>
            <w:shd w:fill="6400A0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r>
              <w:rPr>
                <w:b/>
                <w:color w:val="FFFFFF"/>
                <w:sz w:val="20"/>
              </w:rPr>
              <w:t>Assumptions</w:t>
            </w:r>
          </w:p>
        </w:tc>
        <w:tc>
          <w:tcPr>
            <w:tcW w:type="dxa" w:w="1728"/>
            <w:shd w:fill="6400A0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r>
              <w:rPr>
                <w:b/>
                <w:color w:val="FFFFFF"/>
                <w:sz w:val="20"/>
              </w:rPr>
              <w:t>ROI</w:t>
            </w:r>
          </w:p>
        </w:tc>
      </w:tr>
      <w:tr>
        <w:tc>
          <w:tcPr>
            <w:tcW w:type="dxa" w:w="1008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Low</w:t>
            </w:r>
          </w:p>
        </w:tc>
        <w:tc>
          <w:tcPr>
            <w:tcW w:type="dxa" w:w="7128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1.0 L/100 km for six months only; $1.45/L; $72,215 costs</w:t>
            </w:r>
          </w:p>
        </w:tc>
        <w:tc>
          <w:tcPr>
            <w:tcW w:type="dxa" w:w="1728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About -19%</w:t>
            </w:r>
          </w:p>
        </w:tc>
      </w:tr>
      <w:tr>
        <w:tc>
          <w:tcPr>
            <w:tcW w:type="dxa" w:w="1008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Base</w:t>
            </w:r>
          </w:p>
        </w:tc>
        <w:tc>
          <w:tcPr>
            <w:tcW w:type="dxa" w:w="7128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1.6 then 0.8 L/100 km; $1.60/L; $65,650 costs</w:t>
            </w:r>
          </w:p>
        </w:tc>
        <w:tc>
          <w:tcPr>
            <w:tcW w:type="dxa" w:w="1728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About 137%</w:t>
            </w:r>
          </w:p>
        </w:tc>
      </w:tr>
      <w:tr>
        <w:tc>
          <w:tcPr>
            <w:tcW w:type="dxa" w:w="1008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High</w:t>
            </w:r>
          </w:p>
        </w:tc>
        <w:tc>
          <w:tcPr>
            <w:tcW w:type="dxa" w:w="7128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1.6 L/100 km all year; $1.75/L; $65,650 costs</w:t>
            </w:r>
          </w:p>
        </w:tc>
        <w:tc>
          <w:tcPr>
            <w:tcW w:type="dxa" w:w="1728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About 245%</w:t>
            </w:r>
          </w:p>
        </w:tc>
      </w:tr>
    </w:tbl>
    <w:p>
      <w:pPr>
        <w:spacing w:after="120"/>
      </w:pPr>
    </w:p>
    <w:p>
      <w:pPr>
        <w:spacing w:after="120"/>
      </w:pPr>
      <w:r>
        <w:t>This is an assumed sensitivity range, not a statistical interval. Report non-monetised outcomes separately. Do not count sales revenue as incremental profit, or count the same saving twice.</w:t>
      </w:r>
    </w:p>
    <w:p>
      <w:r>
        <w:br w:type="page"/>
      </w:r>
    </w:p>
    <w:p>
      <w:pPr>
        <w:pStyle w:val="Heading1"/>
        <w:spacing w:after="120"/>
      </w:pPr>
      <w:r>
        <w:rPr>
          <w:color w:val="6400A0"/>
        </w:rPr>
        <w:t>Your programme calculation</w:t>
      </w:r>
    </w:p>
    <w:p>
      <w:pPr>
        <w:spacing w:after="120"/>
      </w:pPr>
      <w:r>
        <w:t>Programme and sponsor: ____________________________________________</w:t>
      </w:r>
    </w:p>
    <w:p>
      <w:pPr>
        <w:spacing w:after="120"/>
      </w:pPr>
      <w:r>
        <w:t>Decision and reporting period: 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464"/>
            <w:shd w:fill="6400A0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r>
              <w:rPr>
                <w:b/>
                <w:color w:val="FFFFFF"/>
                <w:sz w:val="20"/>
              </w:rPr>
              <w:t>Input or calculation</w:t>
            </w:r>
          </w:p>
        </w:tc>
        <w:tc>
          <w:tcPr>
            <w:tcW w:type="dxa" w:w="5400"/>
            <w:shd w:fill="6400A0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r>
              <w:rPr>
                <w:b/>
                <w:color w:val="FFFFFF"/>
                <w:sz w:val="20"/>
              </w:rPr>
              <w:t>Your evidence and number</w:t>
            </w:r>
          </w:p>
        </w:tc>
      </w:tr>
      <w:tr>
        <w:trPr>
          <w:trHeight w:val="640" w:hRule="atLeast"/>
        </w:trPr>
        <w:tc>
          <w:tcPr>
            <w:tcW w:type="dxa" w:w="4464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Business measure and baseline</w:t>
            </w:r>
          </w:p>
        </w:tc>
        <w:tc>
          <w:tcPr>
            <w:tcW w:type="dxa" w:w="5400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</w:r>
          </w:p>
        </w:tc>
      </w:tr>
      <w:tr>
        <w:trPr>
          <w:trHeight w:val="640" w:hRule="atLeast"/>
        </w:trPr>
        <w:tc>
          <w:tcPr>
            <w:tcW w:type="dxa" w:w="4464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Attribution method and assumptions</w:t>
            </w:r>
          </w:p>
        </w:tc>
        <w:tc>
          <w:tcPr>
            <w:tcW w:type="dxa" w:w="5400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</w:r>
          </w:p>
        </w:tc>
      </w:tr>
      <w:tr>
        <w:trPr>
          <w:trHeight w:val="640" w:hRule="atLeast"/>
        </w:trPr>
        <w:tc>
          <w:tcPr>
            <w:tcW w:type="dxa" w:w="4464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Recorded volume and period</w:t>
            </w:r>
          </w:p>
        </w:tc>
        <w:tc>
          <w:tcPr>
            <w:tcW w:type="dxa" w:w="5400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</w:r>
          </w:p>
        </w:tc>
      </w:tr>
      <w:tr>
        <w:trPr>
          <w:trHeight w:val="640" w:hRule="atLeast"/>
        </w:trPr>
        <w:tc>
          <w:tcPr>
            <w:tcW w:type="dxa" w:w="4464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Monetary value per unit and source</w:t>
            </w:r>
          </w:p>
        </w:tc>
        <w:tc>
          <w:tcPr>
            <w:tcW w:type="dxa" w:w="5400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</w:r>
          </w:p>
        </w:tc>
      </w:tr>
      <w:tr>
        <w:trPr>
          <w:trHeight w:val="640" w:hRule="atLeast"/>
        </w:trPr>
        <w:tc>
          <w:tcPr>
            <w:tcW w:type="dxa" w:w="4464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Programme benefit B</w:t>
            </w:r>
          </w:p>
        </w:tc>
        <w:tc>
          <w:tcPr>
            <w:tcW w:type="dxa" w:w="5400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</w:r>
          </w:p>
        </w:tc>
      </w:tr>
      <w:tr>
        <w:trPr>
          <w:trHeight w:val="640" w:hRule="atLeast"/>
        </w:trPr>
        <w:tc>
          <w:tcPr>
            <w:tcW w:type="dxa" w:w="4464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Full programme cost C</w:t>
            </w:r>
          </w:p>
        </w:tc>
        <w:tc>
          <w:tcPr>
            <w:tcW w:type="dxa" w:w="5400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</w:r>
          </w:p>
        </w:tc>
      </w:tr>
      <w:tr>
        <w:trPr>
          <w:trHeight w:val="640" w:hRule="atLeast"/>
        </w:trPr>
        <w:tc>
          <w:tcPr>
            <w:tcW w:type="dxa" w:w="4464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Net benefit B minus C</w:t>
            </w:r>
          </w:p>
        </w:tc>
        <w:tc>
          <w:tcPr>
            <w:tcW w:type="dxa" w:w="5400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</w:r>
          </w:p>
        </w:tc>
      </w:tr>
      <w:tr>
        <w:trPr>
          <w:trHeight w:val="640" w:hRule="atLeast"/>
        </w:trPr>
        <w:tc>
          <w:tcPr>
            <w:tcW w:type="dxa" w:w="4464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ROI (B minus C) ÷ C × 100</w:t>
            </w:r>
          </w:p>
        </w:tc>
        <w:tc>
          <w:tcPr>
            <w:tcW w:type="dxa" w:w="5400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</w:r>
          </w:p>
        </w:tc>
      </w:tr>
      <w:tr>
        <w:trPr>
          <w:trHeight w:val="640" w:hRule="atLeast"/>
        </w:trPr>
        <w:tc>
          <w:tcPr>
            <w:tcW w:type="dxa" w:w="4464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Benefit-cost ratio B ÷ C</w:t>
            </w:r>
          </w:p>
        </w:tc>
        <w:tc>
          <w:tcPr>
            <w:tcW w:type="dxa" w:w="5400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</w:r>
          </w:p>
        </w:tc>
      </w:tr>
      <w:tr>
        <w:trPr>
          <w:trHeight w:val="640" w:hRule="atLeast"/>
        </w:trPr>
        <w:tc>
          <w:tcPr>
            <w:tcW w:type="dxa" w:w="4464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Low and high assumptions</w:t>
            </w:r>
          </w:p>
        </w:tc>
        <w:tc>
          <w:tcPr>
            <w:tcW w:type="dxa" w:w="5400"/>
            <w:shd w:fill="F5F0FA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</w:r>
          </w:p>
        </w:tc>
      </w:tr>
      <w:tr>
        <w:trPr>
          <w:trHeight w:val="640" w:hRule="atLeast"/>
        </w:trPr>
        <w:tc>
          <w:tcPr>
            <w:tcW w:type="dxa" w:w="4464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  <w:t>Non-monetised outcomes</w:t>
            </w:r>
          </w:p>
        </w:tc>
        <w:tc>
          <w:tcPr>
            <w:tcW w:type="dxa" w:w="5400"/>
            <w:tcBorders>
              <w:top w:val="single" w:sz="4" w:color="DDD1E9"/>
              <w:left w:val="single" w:sz="4" w:color="DDD1E9"/>
              <w:bottom w:val="single" w:sz="4" w:color="DDD1E9"/>
              <w:right w:val="single" w:sz="4" w:color="DDD1E9"/>
            </w:tcBorders>
          </w:tcPr>
          <w:p>
            <w:pPr>
              <w:spacing w:after="80" w:before="80"/>
            </w:pPr>
            <w:r>
              <w:rPr>
                <w:sz w:val="20"/>
              </w:rPr>
            </w:r>
          </w:p>
        </w:tc>
      </w:tr>
    </w:tbl>
    <w:p>
      <w:pPr>
        <w:spacing w:after="120"/>
      </w:pPr>
    </w:p>
    <w:p>
      <w:pPr>
        <w:spacing w:after="120"/>
      </w:pPr>
      <w:r>
        <w:t>Before presenting: check the counterfactual, data coverage, full costs, learner time, overlap between benefits and the forecast period. Use cumulative cash-flow timing for payback; costs divided by annual average benefits is only appropriate for that simplified timing assumption.</w:t>
      </w:r>
    </w:p>
    <w:p>
      <w:pPr>
        <w:spacing w:after="120"/>
      </w:pPr>
      <w:r>
        <w:t>Planning aid adapted from Phillips and Phillips, ROI Basics (2019), and the Coursebox article’s hypothetical depot example. Source: roiinstitute.net/wp-content/uploads/2021/04/ROI-Basics-chapter-one.pdf. This worksheet does not certify a return or recommend a spending decision.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16000" cy="21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oursebox-logo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000" cy="21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