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Planer für Kurse mit Problem zuerst</w:t>
      </w:r>
    </w:p>
    <w:p>
      <w:r>
        <w:rPr>
          <w:color w:val="5A5766"/>
          <w:sz w:val="22"/>
        </w:rPr>
        <w:t>Planen Sie ein konstruktivistisches Modul, in dem die Lernenden zuerst ein realistisches Problem angehen, bevor die Erklärung folgt. Danach lernen sie an einem durchgearbeiteten Beispiel, üben mit schrittweise abnehmender Unterstützung, vergleichen ihre Begründungen und entscheiden einen neuen Fall selbstständig. Dies ist eine eigene Adaption von Coursebox auf Basis von Cognitive Apprenticeship (Collins, Brown und Newman, 1989), problembasiertem Lernen (Savery, 2006) und Problemlösen vor der Instruktion (Sinha und Kapur, 2021). Es ist ein Planungsinstrument, kein validiertes Messinstrument: Es ergibt keinen Punktwert. Als Beispiel ist ein fiktiver Kurs für die Kreditorenbuchhaltung ausgefüllt.</w:t>
      </w:r>
    </w:p>
    <w:p>
      <w:r>
        <w:rPr>
          <w:i/>
          <w:color w:val="5A5766"/>
          <w:sz w:val="18"/>
        </w:rPr>
        <w:t>Aus dem Coursebox-Blog: coursebox.ai/blog/constructivism-learning-theory-and-its-elearning-application</w:t>
      </w:r>
    </w:p>
    <w:p>
      <w:pPr>
        <w:keepNext/>
        <w:spacing w:before="240" w:after="80"/>
      </w:pPr>
      <w:r>
        <w:rPr>
          <w:b/>
          <w:color w:val="5D008F"/>
          <w:sz w:val="28"/>
        </w:rPr>
        <w:t>So verwenden Sie diesen Planer</w:t>
      </w:r>
    </w:p>
    <w:p>
      <w:pPr>
        <w:pStyle w:val="ListBullet"/>
      </w:pPr>
      <w:r>
        <w:t>Gehen Sie von einer Entscheidung aus, die Lernende im Arbeitsalltag falsch treffen, nicht von einem Thema. Formulieren Sie sie als Problem.</w:t>
      </w:r>
    </w:p>
    <w:p>
      <w:pPr>
        <w:pStyle w:val="ListBullet"/>
      </w:pPr>
      <w:r>
        <w:t>Listen Sie alles auf, was Lernende für diese Entscheidung brauchen: die Dokumente, die sie sehen würden, den Datensatz, den sie prüfen sollten, und die Regel, die den Fall entscheidet. Das ist das Fallpaket.</w:t>
      </w:r>
    </w:p>
    <w:p>
      <w:pPr>
        <w:pStyle w:val="ListBullet"/>
      </w:pPr>
      <w:r>
        <w:t>Prüfen Sie, was die Lernenden bereits wissen. Fragen Sie nach, testen Sie oder sehen Sie sich ihre Arbeit an; schließen Sie nicht allein von der Berufsbezeichnung darauf.</w:t>
      </w:r>
    </w:p>
    <w:p>
      <w:pPr>
        <w:pStyle w:val="ListBullet"/>
      </w:pPr>
      <w:r>
        <w:t>Planen Sie die Reihenfolge: erster Versuch, durchgearbeitetes Beispiel, begleitetes Üben, Vergleich, Erstellen eines eigenen Hilfsmittels, ein neuer Fall und ein kurzer Abschluss.</w:t>
      </w:r>
    </w:p>
    <w:p>
      <w:pPr>
        <w:pStyle w:val="ListBullet"/>
      </w:pPr>
      <w:r>
        <w:t>Legen Sie für jeden Schritt den Unterstützungsgrad fest (umfassend, teilweise, gering oder keine) und benennen Sie genau, welche Unterstützung bereitsteht. Reduzieren Sie die Unterstützung, sobald die Lernenden sicherer werden, und nicht einfach mit jeder weiteren Seite.</w:t>
      </w:r>
    </w:p>
    <w:p>
      <w:pPr>
        <w:pStyle w:val="ListBullet"/>
      </w:pPr>
      <w:r>
        <w:t>Schreiben Sie die Bewertung des neuen Falls und ihre Kriterien, bevor Sie Inhalte verfassen, und wählen Sie neben etwaigen Faktenchecks ein Antwortformat, das die Begründung sichtbar macht.</w:t>
      </w:r>
    </w:p>
    <w:p>
      <w:pPr>
        <w:keepNext/>
        <w:pageBreakBefore/>
        <w:spacing w:before="240" w:after="80"/>
      </w:pPr>
      <w:r>
        <w:rPr>
          <w:b/>
          <w:color w:val="5D008F"/>
          <w:sz w:val="28"/>
        </w:rPr>
        <w:t>Beispiel: das Problem und das Fallpaket</w:t>
      </w:r>
    </w:p>
    <w:p>
      <w:r>
        <w:t>Fiktives Beispiel. Ein mittelgroßes Fertigungsunternehmen entwickelt einen selbstgesteuerten Kurs von 40 Minuten, „Zurückhalten, prüfen oder zahlen?“, für Mitarbeitende der Kreditorenbuchhaltung in ihren ersten drei Monaten.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Punkt</w:t>
            </w:r>
          </w:p>
        </w:tc>
        <w:tc>
          <w:tcPr>
            <w:tcW w:type="dxa" w:w="7087"/>
            <w:shd w:val="clear" w:color="auto" w:fill="5D008F"/>
          </w:tcPr>
          <w:p>
            <w:pPr>
              <w:spacing w:before="60" w:after="60"/>
            </w:pPr>
            <w:r/>
            <w:r>
              <w:rPr>
                <w:b/>
                <w:color w:val="FFFFFF"/>
              </w:rPr>
              <w:t>Kurs Kreditorenbuchhaltung</w:t>
            </w:r>
          </w:p>
        </w:tc>
      </w:tr>
      <w:tr>
        <w:trPr>
          <w:cantSplit w:val="true"/>
        </w:trPr>
        <w:tc>
          <w:tcPr>
            <w:tcW w:type="dxa" w:w="2551"/>
          </w:tcPr>
          <w:p>
            <w:pPr>
              <w:spacing w:before="60" w:after="60"/>
            </w:pPr>
            <w:r>
              <w:rPr>
                <w:b/>
              </w:rPr>
              <w:t>Die Entscheidung, die Lernende falsch treffen</w:t>
            </w:r>
          </w:p>
        </w:tc>
        <w:tc>
          <w:tcPr>
            <w:tcW w:type="dxa" w:w="7087"/>
          </w:tcPr>
          <w:p>
            <w:pPr>
              <w:spacing w:before="60" w:after="60"/>
            </w:pPr>
            <w:r>
              <w:t>Ob die Bankdaten eines Lieferanten aktualisiert werden sollen, wenn eine Änderungsanfrage eingeht, und wie mit der nächsten Zahlung umzugehen ist.</w:t>
            </w:r>
          </w:p>
        </w:tc>
      </w:tr>
      <w:tr>
        <w:trPr>
          <w:cantSplit w:val="true"/>
        </w:trPr>
        <w:tc>
          <w:tcPr>
            <w:tcW w:type="dxa" w:w="2551"/>
            <w:shd w:val="clear" w:color="auto" w:fill="F7F0FB"/>
          </w:tcPr>
          <w:p>
            <w:pPr>
              <w:spacing w:before="60" w:after="60"/>
            </w:pPr>
            <w:r>
              <w:rPr>
                <w:b/>
              </w:rPr>
              <w:t>Das Problem</w:t>
            </w:r>
          </w:p>
        </w:tc>
        <w:tc>
          <w:tcPr>
            <w:tcW w:type="dxa" w:w="7087"/>
            <w:shd w:val="clear" w:color="auto" w:fill="F7F0FB"/>
          </w:tcPr>
          <w:p>
            <w:pPr>
              <w:spacing w:before="60" w:after="60"/>
            </w:pPr>
            <w:r>
              <w:t>An einem Dienstag, zwei Tage vor dem wöchentlichen Zahlungslauf, bittet eine E-Mail vom üblichen Ansprechpartner eines langjährigen Verpackungslieferanten die Kreditorenbuchhaltung, das Bankkonto „für alle Zahlungen ab dieser Woche“ zu ändern, weil der Lieferant „die Bank gewechselt“ habe. Eine Rechnung über 48.600 $ ist im Zahlungslauf am Donnerstag fällig. Die Absenderdomain unterscheidet sich von der üblichen um einen Buchstaben.</w:t>
            </w:r>
          </w:p>
        </w:tc>
      </w:tr>
      <w:tr>
        <w:trPr>
          <w:cantSplit w:val="true"/>
        </w:trPr>
        <w:tc>
          <w:tcPr>
            <w:tcW w:type="dxa" w:w="2551"/>
          </w:tcPr>
          <w:p>
            <w:pPr>
              <w:spacing w:before="60" w:after="60"/>
            </w:pPr>
            <w:r>
              <w:rPr>
                <w:b/>
              </w:rPr>
              <w:t>Fallpaket</w:t>
            </w:r>
          </w:p>
        </w:tc>
        <w:tc>
          <w:tcPr>
            <w:tcW w:type="dxa" w:w="7087"/>
          </w:tcPr>
          <w:p>
            <w:pPr>
              <w:spacing w:before="60" w:after="60"/>
            </w:pPr>
            <w:r>
              <w:t>Die E-Mail; das Schreiben auf Briefpapier mit den neuen Daten; der Lieferantenstammsatz (Bankdaten, hinterlegte Telefonnummer, seit vier Jahren keine Änderungen); der Zahlungslaufplan; die Verfahrensanweisung.</w:t>
            </w:r>
          </w:p>
        </w:tc>
      </w:tr>
      <w:tr>
        <w:trPr>
          <w:cantSplit w:val="true"/>
        </w:trPr>
        <w:tc>
          <w:tcPr>
            <w:tcW w:type="dxa" w:w="2551"/>
            <w:shd w:val="clear" w:color="auto" w:fill="F7F0FB"/>
          </w:tcPr>
          <w:p>
            <w:pPr>
              <w:spacing w:before="60" w:after="60"/>
            </w:pPr>
            <w:r>
              <w:rPr>
                <w:b/>
              </w:rPr>
              <w:t>Die Regel, die den Fall entscheidet</w:t>
            </w:r>
          </w:p>
        </w:tc>
        <w:tc>
          <w:tcPr>
            <w:tcW w:type="dxa" w:w="7087"/>
            <w:shd w:val="clear" w:color="auto" w:fill="F7F0FB"/>
          </w:tcPr>
          <w:p>
            <w:pPr>
              <w:spacing w:before="60" w:after="60"/>
            </w:pPr>
            <w:r>
              <w:t>Bestätigen Sie jede Änderung der Bankdaten durch einen Anruf beim Lieferanten unter der bereits hinterlegten Nummer, niemals unter einer Nummer aus der Anfrage, und holen Sie vor der nächsten Zahlung die Freigabe einer zweiten Person ein.</w:t>
            </w:r>
          </w:p>
        </w:tc>
      </w:tr>
      <w:tr>
        <w:trPr>
          <w:cantSplit w:val="true"/>
        </w:trPr>
        <w:tc>
          <w:tcPr>
            <w:tcW w:type="dxa" w:w="2551"/>
          </w:tcPr>
          <w:p>
            <w:pPr>
              <w:spacing w:before="60" w:after="60"/>
            </w:pPr>
            <w:r>
              <w:rPr>
                <w:b/>
              </w:rPr>
              <w:t>Angestrebtes Ergebnis</w:t>
            </w:r>
          </w:p>
        </w:tc>
        <w:tc>
          <w:tcPr>
            <w:tcW w:type="dxa" w:w="7087"/>
          </w:tcPr>
          <w:p>
            <w:pPr>
              <w:spacing w:before="60" w:after="60"/>
            </w:pPr>
            <w:r>
              <w:t>Die Mitarbeitenden beurteilen eine Änderungsanfrage anhand des Lieferantensatzes und der Verfahrensanweisung, entscheiden sich für Zurückhalten, Prüfen oder Zahlen, begründen das schriftlich und erstellen ihre eigene Prüfliste für die nächste Anfrage.</w:t>
            </w:r>
          </w:p>
        </w:tc>
      </w:tr>
    </w:tbl>
    <w:p>
      <w:pPr>
        <w:keepNext/>
        <w:spacing w:before="240" w:after="80"/>
      </w:pPr>
      <w:r>
        <w:rPr>
          <w:b/>
          <w:color w:val="5D008F"/>
          <w:sz w:val="28"/>
        </w:rPr>
        <w:t>Beispiel: was die Lernenden bereits wissen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Frage</w:t>
            </w:r>
          </w:p>
        </w:tc>
        <w:tc>
          <w:tcPr>
            <w:tcW w:type="dxa" w:w="6236"/>
            <w:shd w:val="clear" w:color="auto" w:fill="5D008F"/>
          </w:tcPr>
          <w:p>
            <w:pPr>
              <w:spacing w:before="60" w:after="60"/>
            </w:pPr>
            <w:r/>
            <w:r>
              <w:rPr>
                <w:b/>
                <w:color w:val="FFFFFF"/>
              </w:rPr>
              <w:t>Kurs Kreditorenbuchhaltung</w:t>
            </w:r>
          </w:p>
        </w:tc>
      </w:tr>
      <w:tr>
        <w:trPr>
          <w:cantSplit w:val="true"/>
        </w:trPr>
        <w:tc>
          <w:tcPr>
            <w:tcW w:type="dxa" w:w="3402"/>
          </w:tcPr>
          <w:p>
            <w:pPr>
              <w:spacing w:before="60" w:after="60"/>
            </w:pPr>
            <w:r>
              <w:rPr>
                <w:b/>
              </w:rPr>
              <w:t>Was können sie bereits?</w:t>
            </w:r>
          </w:p>
        </w:tc>
        <w:tc>
          <w:tcPr>
            <w:tcW w:type="dxa" w:w="6236"/>
          </w:tcPr>
          <w:p>
            <w:pPr>
              <w:spacing w:before="60" w:after="60"/>
            </w:pPr>
            <w:r>
              <w:t>Rechnungen erfassen und den wöchentlichen Zahlungslauf im Finanzsystem durchführen.</w:t>
            </w:r>
          </w:p>
        </w:tc>
      </w:tr>
      <w:tr>
        <w:trPr>
          <w:cantSplit w:val="true"/>
        </w:trPr>
        <w:tc>
          <w:tcPr>
            <w:tcW w:type="dxa" w:w="3402"/>
            <w:shd w:val="clear" w:color="auto" w:fill="F7F0FB"/>
          </w:tcPr>
          <w:p>
            <w:pPr>
              <w:spacing w:before="60" w:after="60"/>
            </w:pPr>
            <w:r>
              <w:rPr>
                <w:b/>
              </w:rPr>
              <w:t>Was haben sie noch nicht getan?</w:t>
            </w:r>
          </w:p>
        </w:tc>
        <w:tc>
          <w:tcPr>
            <w:tcW w:type="dxa" w:w="6236"/>
            <w:shd w:val="clear" w:color="auto" w:fill="F7F0FB"/>
          </w:tcPr>
          <w:p>
            <w:pPr>
              <w:spacing w:before="60" w:after="60"/>
            </w:pPr>
            <w:r>
              <w:t>Eine Änderungsanfrage zu Bankdaten bearbeitet oder die Verfahrensanweisung zur Verifizierung gelesen.</w:t>
            </w:r>
          </w:p>
        </w:tc>
      </w:tr>
      <w:tr>
        <w:trPr>
          <w:cantSplit w:val="true"/>
        </w:trPr>
        <w:tc>
          <w:tcPr>
            <w:tcW w:type="dxa" w:w="3402"/>
          </w:tcPr>
          <w:p>
            <w:pPr>
              <w:spacing w:before="60" w:after="60"/>
            </w:pPr>
            <w:r>
              <w:rPr>
                <w:b/>
              </w:rPr>
              <w:t>Was glauben sie wahrscheinlich?</w:t>
            </w:r>
          </w:p>
        </w:tc>
        <w:tc>
          <w:tcPr>
            <w:tcW w:type="dxa" w:w="6236"/>
          </w:tcPr>
          <w:p>
            <w:pPr>
              <w:spacing w:before="60" w:after="60"/>
            </w:pPr>
            <w:r>
              <w:t>Eine Anfrage vom üblichen Ansprechpartner ist unbedenklich. Die erste offene Antwort bestätigt oder korrigiert diese Annahme.</w:t>
            </w:r>
          </w:p>
        </w:tc>
      </w:tr>
      <w:tr>
        <w:trPr>
          <w:cantSplit w:val="true"/>
        </w:trPr>
        <w:tc>
          <w:tcPr>
            <w:tcW w:type="dxa" w:w="3402"/>
            <w:shd w:val="clear" w:color="auto" w:fill="F7F0FB"/>
          </w:tcPr>
          <w:p>
            <w:pPr>
              <w:spacing w:before="60" w:after="60"/>
            </w:pPr>
            <w:r>
              <w:rPr>
                <w:b/>
              </w:rPr>
              <w:t>Wie haben wir das geprüft?</w:t>
            </w:r>
          </w:p>
        </w:tc>
        <w:tc>
          <w:tcPr>
            <w:tcW w:type="dxa" w:w="6236"/>
            <w:shd w:val="clear" w:color="auto" w:fill="F7F0FB"/>
          </w:tcPr>
          <w:p>
            <w:pPr>
              <w:spacing w:before="60" w:after="60"/>
            </w:pPr>
            <w:r>
              <w:t>Eine Stichprobe der Antworten neuer Mitarbeitender auf eine offene Frage zu einer ähnlichen Anfrage, bevor der Kurs geschrieben wurde.</w:t>
            </w:r>
          </w:p>
        </w:tc>
      </w:tr>
    </w:tbl>
    <w:p>
      <w:pPr>
        <w:keepNext/>
        <w:pageBreakBefore/>
        <w:spacing w:before="240" w:after="80"/>
      </w:pPr>
      <w:r>
        <w:rPr>
          <w:b/>
          <w:color w:val="5D008F"/>
          <w:sz w:val="28"/>
        </w:rPr>
        <w:t>Beispiel: die Abfolge und die Unterstützung in jedem Schritt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Schritt</w:t>
            </w:r>
          </w:p>
        </w:tc>
        <w:tc>
          <w:tcPr>
            <w:tcW w:type="dxa" w:w="2835"/>
            <w:shd w:val="clear" w:color="auto" w:fill="5D008F"/>
          </w:tcPr>
          <w:p>
            <w:pPr>
              <w:spacing w:before="60" w:after="60"/>
            </w:pPr>
            <w:r/>
            <w:r>
              <w:rPr>
                <w:b/>
                <w:color w:val="FFFFFF"/>
              </w:rPr>
              <w:t>Was die Lernenden tun</w:t>
            </w:r>
          </w:p>
        </w:tc>
        <w:tc>
          <w:tcPr>
            <w:tcW w:type="dxa" w:w="1247"/>
            <w:shd w:val="clear" w:color="auto" w:fill="5D008F"/>
          </w:tcPr>
          <w:p>
            <w:pPr>
              <w:spacing w:before="60" w:after="60"/>
            </w:pPr>
            <w:r/>
            <w:r>
              <w:rPr>
                <w:b/>
                <w:color w:val="FFFFFF"/>
              </w:rPr>
              <w:t>Unterstützungsgrad</w:t>
            </w:r>
          </w:p>
        </w:tc>
        <w:tc>
          <w:tcPr>
            <w:tcW w:type="dxa" w:w="2268"/>
            <w:shd w:val="clear" w:color="auto" w:fill="5D008F"/>
          </w:tcPr>
          <w:p>
            <w:pPr>
              <w:spacing w:before="60" w:after="60"/>
            </w:pPr>
            <w:r/>
            <w:r>
              <w:rPr>
                <w:b/>
                <w:color w:val="FFFFFF"/>
              </w:rPr>
              <w:t>Verfügbare Unterstützung</w:t>
            </w:r>
          </w:p>
        </w:tc>
        <w:tc>
          <w:tcPr>
            <w:tcW w:type="dxa" w:w="1701"/>
            <w:shd w:val="clear" w:color="auto" w:fill="5D008F"/>
          </w:tcPr>
          <w:p>
            <w:pPr>
              <w:spacing w:before="60" w:after="60"/>
            </w:pPr>
            <w:r/>
            <w:r>
              <w:rPr>
                <w:b/>
                <w:color w:val="FFFFFF"/>
              </w:rPr>
              <w:t>Methode</w:t>
            </w:r>
          </w:p>
        </w:tc>
      </w:tr>
      <w:tr>
        <w:trPr>
          <w:cantSplit w:val="true"/>
        </w:trPr>
        <w:tc>
          <w:tcPr>
            <w:tcW w:type="dxa" w:w="1587"/>
          </w:tcPr>
          <w:p>
            <w:pPr>
              <w:spacing w:before="60" w:after="60"/>
            </w:pPr>
            <w:r>
              <w:rPr>
                <w:b/>
              </w:rPr>
              <w:t>Bevor Sie beginnen</w:t>
            </w:r>
          </w:p>
        </w:tc>
        <w:tc>
          <w:tcPr>
            <w:tcW w:type="dxa" w:w="2835"/>
          </w:tcPr>
          <w:p>
            <w:pPr>
              <w:spacing w:before="60" w:after="60"/>
            </w:pPr>
            <w:r>
              <w:t>Sehen, was der Kurs abdeckt, und das Fallpaket ansehen</w:t>
            </w:r>
          </w:p>
        </w:tc>
        <w:tc>
          <w:tcPr>
            <w:tcW w:type="dxa" w:w="1247"/>
          </w:tcPr>
          <w:p>
            <w:pPr>
              <w:spacing w:before="60" w:after="60"/>
            </w:pPr>
            <w:r>
              <w:t>Gering</w:t>
            </w:r>
          </w:p>
        </w:tc>
        <w:tc>
          <w:tcPr>
            <w:tcW w:type="dxa" w:w="2268"/>
          </w:tcPr>
          <w:p>
            <w:pPr>
              <w:spacing w:before="60" w:after="60"/>
            </w:pPr>
            <w:r>
              <w:t>Kurzer Überblick; noch keine Verfahrensanweisung und kein Vortrag über Betrug</w:t>
            </w:r>
          </w:p>
        </w:tc>
        <w:tc>
          <w:tcPr>
            <w:tcW w:type="dxa" w:w="1701"/>
          </w:tcPr>
          <w:p>
            <w:pPr>
              <w:spacing w:before="60" w:after="60"/>
            </w:pPr>
            <w:r>
              <w:t>Problembasiertes Lernen</w:t>
            </w:r>
          </w:p>
        </w:tc>
      </w:tr>
      <w:tr>
        <w:trPr>
          <w:cantSplit w:val="true"/>
        </w:trPr>
        <w:tc>
          <w:tcPr>
            <w:tcW w:type="dxa" w:w="1587"/>
            <w:shd w:val="clear" w:color="auto" w:fill="F7F0FB"/>
          </w:tcPr>
          <w:p>
            <w:pPr>
              <w:spacing w:before="60" w:after="60"/>
            </w:pPr>
            <w:r>
              <w:rPr>
                <w:b/>
              </w:rPr>
              <w:t>Ihre erste Entscheidung</w:t>
            </w:r>
          </w:p>
        </w:tc>
        <w:tc>
          <w:tcPr>
            <w:tcW w:type="dxa" w:w="2835"/>
            <w:shd w:val="clear" w:color="auto" w:fill="F7F0FB"/>
          </w:tcPr>
          <w:p>
            <w:pPr>
              <w:spacing w:before="60" w:after="60"/>
            </w:pPr>
            <w:r>
              <w:t>Die Anfrage vom Dienstag lesen und aufschreiben, was sie tun würden und warum</w:t>
            </w:r>
          </w:p>
        </w:tc>
        <w:tc>
          <w:tcPr>
            <w:tcW w:type="dxa" w:w="1247"/>
            <w:shd w:val="clear" w:color="auto" w:fill="F7F0FB"/>
          </w:tcPr>
          <w:p>
            <w:pPr>
              <w:spacing w:before="60" w:after="60"/>
            </w:pPr>
            <w:r>
              <w:t>Keine</w:t>
            </w:r>
          </w:p>
        </w:tc>
        <w:tc>
          <w:tcPr>
            <w:tcW w:type="dxa" w:w="2268"/>
            <w:shd w:val="clear" w:color="auto" w:fill="F7F0FB"/>
          </w:tcPr>
          <w:p>
            <w:pPr>
              <w:spacing w:before="60" w:after="60"/>
            </w:pPr>
            <w:r>
              <w:t>Der Hinweis, dass eine erste Antwort nicht richtig sein muss</w:t>
            </w:r>
          </w:p>
        </w:tc>
        <w:tc>
          <w:tcPr>
            <w:tcW w:type="dxa" w:w="1701"/>
            <w:shd w:val="clear" w:color="auto" w:fill="F7F0FB"/>
          </w:tcPr>
          <w:p>
            <w:pPr>
              <w:spacing w:before="60" w:after="60"/>
            </w:pPr>
            <w:r>
              <w:t>Problem zuerst</w:t>
            </w:r>
          </w:p>
        </w:tc>
      </w:tr>
      <w:tr>
        <w:trPr>
          <w:cantSplit w:val="true"/>
        </w:trPr>
        <w:tc>
          <w:tcPr>
            <w:tcW w:type="dxa" w:w="1587"/>
          </w:tcPr>
          <w:p>
            <w:pPr>
              <w:spacing w:before="60" w:after="60"/>
            </w:pPr>
            <w:r>
              <w:rPr>
                <w:b/>
              </w:rPr>
              <w:t>Einer erfahrenen Fachkraft über die Schulter schauen</w:t>
            </w:r>
          </w:p>
        </w:tc>
        <w:tc>
          <w:tcPr>
            <w:tcW w:type="dxa" w:w="2835"/>
          </w:tcPr>
          <w:p>
            <w:pPr>
              <w:spacing w:before="60" w:after="60"/>
            </w:pPr>
            <w:r>
              <w:t>Verfolgen, wie eine erfahrene Fachkraft eine frühere Anfrage laut denkend durcharbeitet</w:t>
            </w:r>
          </w:p>
        </w:tc>
        <w:tc>
          <w:tcPr>
            <w:tcW w:type="dxa" w:w="1247"/>
          </w:tcPr>
          <w:p>
            <w:pPr>
              <w:spacing w:before="60" w:after="60"/>
            </w:pPr>
            <w:r>
              <w:t>Umfassend</w:t>
            </w:r>
          </w:p>
        </w:tc>
        <w:tc>
          <w:tcPr>
            <w:tcW w:type="dxa" w:w="2268"/>
          </w:tcPr>
          <w:p>
            <w:pPr>
              <w:spacing w:before="60" w:after="60"/>
            </w:pPr>
            <w:r>
              <w:t>Durchgearbeitetes Beispiel, Schritt für Schritt</w:t>
            </w:r>
          </w:p>
        </w:tc>
        <w:tc>
          <w:tcPr>
            <w:tcW w:type="dxa" w:w="1701"/>
          </w:tcPr>
          <w:p>
            <w:pPr>
              <w:spacing w:before="60" w:after="60"/>
            </w:pPr>
            <w:r>
              <w:t>Fallbasiertes Lernen, Modelllernen</w:t>
            </w:r>
          </w:p>
        </w:tc>
      </w:tr>
      <w:tr>
        <w:trPr>
          <w:cantSplit w:val="true"/>
        </w:trPr>
        <w:tc>
          <w:tcPr>
            <w:tcW w:type="dxa" w:w="1587"/>
            <w:shd w:val="clear" w:color="auto" w:fill="F7F0FB"/>
          </w:tcPr>
          <w:p>
            <w:pPr>
              <w:spacing w:before="60" w:after="60"/>
            </w:pPr>
            <w:r>
              <w:rPr>
                <w:b/>
              </w:rPr>
              <w:t>Den Fall mit Hinweisen bearbeiten</w:t>
            </w:r>
          </w:p>
        </w:tc>
        <w:tc>
          <w:tcPr>
            <w:tcW w:type="dxa" w:w="2835"/>
            <w:shd w:val="clear" w:color="auto" w:fill="F7F0FB"/>
          </w:tcPr>
          <w:p>
            <w:pPr>
              <w:spacing w:before="60" w:after="60"/>
            </w:pPr>
            <w:r>
              <w:t>Jeden Teil des Fallpakets mit der Anfrage vom Dienstag abgleichen</w:t>
            </w:r>
          </w:p>
        </w:tc>
        <w:tc>
          <w:tcPr>
            <w:tcW w:type="dxa" w:w="1247"/>
            <w:shd w:val="clear" w:color="auto" w:fill="F7F0FB"/>
          </w:tcPr>
          <w:p>
            <w:pPr>
              <w:spacing w:before="60" w:after="60"/>
            </w:pPr>
            <w:r>
              <w:t>Teilweise</w:t>
            </w:r>
          </w:p>
        </w:tc>
        <w:tc>
          <w:tcPr>
            <w:tcW w:type="dxa" w:w="2268"/>
            <w:shd w:val="clear" w:color="auto" w:fill="F7F0FB"/>
          </w:tcPr>
          <w:p>
            <w:pPr>
              <w:spacing w:before="60" w:after="60"/>
            </w:pPr>
            <w:r>
              <w:t>Optionale Hinweise, wo Sie nachsehen können</w:t>
            </w:r>
          </w:p>
        </w:tc>
        <w:tc>
          <w:tcPr>
            <w:tcW w:type="dxa" w:w="1701"/>
            <w:shd w:val="clear" w:color="auto" w:fill="F7F0FB"/>
          </w:tcPr>
          <w:p>
            <w:pPr>
              <w:spacing w:before="60" w:after="60"/>
            </w:pPr>
            <w:r>
              <w:t>Forschendes Lernen, Coaching</w:t>
            </w:r>
          </w:p>
        </w:tc>
      </w:tr>
      <w:tr>
        <w:trPr>
          <w:cantSplit w:val="true"/>
        </w:trPr>
        <w:tc>
          <w:tcPr>
            <w:tcW w:type="dxa" w:w="1587"/>
          </w:tcPr>
          <w:p>
            <w:pPr>
              <w:spacing w:before="60" w:after="60"/>
            </w:pPr>
            <w:r>
              <w:rPr>
                <w:b/>
              </w:rPr>
              <w:t>Begründungen vergleichen</w:t>
            </w:r>
          </w:p>
        </w:tc>
        <w:tc>
          <w:tcPr>
            <w:tcW w:type="dxa" w:w="2835"/>
          </w:tcPr>
          <w:p>
            <w:pPr>
              <w:spacing w:before="60" w:after="60"/>
            </w:pPr>
            <w:r>
              <w:t>Die Entscheidungen von zwei Kollegen lesen und sagen, welcher sie zustimmen und was sie ändern würden</w:t>
            </w:r>
          </w:p>
        </w:tc>
        <w:tc>
          <w:tcPr>
            <w:tcW w:type="dxa" w:w="1247"/>
          </w:tcPr>
          <w:p>
            <w:pPr>
              <w:spacing w:before="60" w:after="60"/>
            </w:pPr>
            <w:r>
              <w:t>Teilweise</w:t>
            </w:r>
          </w:p>
        </w:tc>
        <w:tc>
          <w:tcPr>
            <w:tcW w:type="dxa" w:w="2268"/>
          </w:tcPr>
          <w:p>
            <w:pPr>
              <w:spacing w:before="60" w:after="60"/>
            </w:pPr>
            <w:r>
              <w:t>Die Verfahrensanweisung und das durchgearbeitete Beispiel</w:t>
            </w:r>
          </w:p>
        </w:tc>
        <w:tc>
          <w:tcPr>
            <w:tcW w:type="dxa" w:w="1701"/>
          </w:tcPr>
          <w:p>
            <w:pPr>
              <w:spacing w:before="60" w:after="60"/>
            </w:pPr>
            <w:r>
              <w:t>Reflexion mit Kollegen</w:t>
            </w:r>
          </w:p>
        </w:tc>
      </w:tr>
      <w:tr>
        <w:trPr>
          <w:cantSplit w:val="true"/>
        </w:trPr>
        <w:tc>
          <w:tcPr>
            <w:tcW w:type="dxa" w:w="1587"/>
            <w:shd w:val="clear" w:color="auto" w:fill="F7F0FB"/>
          </w:tcPr>
          <w:p>
            <w:pPr>
              <w:spacing w:before="60" w:after="60"/>
            </w:pPr>
            <w:r>
              <w:rPr>
                <w:b/>
              </w:rPr>
              <w:t>Eigene Prüfliste erstellen</w:t>
            </w:r>
          </w:p>
        </w:tc>
        <w:tc>
          <w:tcPr>
            <w:tcW w:type="dxa" w:w="2835"/>
            <w:shd w:val="clear" w:color="auto" w:fill="F7F0FB"/>
          </w:tcPr>
          <w:p>
            <w:pPr>
              <w:spacing w:before="60" w:after="60"/>
            </w:pPr>
            <w:r>
              <w:t>Eine persönliche Checkliste für die nächste Anfrage schreiben</w:t>
            </w:r>
          </w:p>
        </w:tc>
        <w:tc>
          <w:tcPr>
            <w:tcW w:type="dxa" w:w="1247"/>
            <w:shd w:val="clear" w:color="auto" w:fill="F7F0FB"/>
          </w:tcPr>
          <w:p>
            <w:pPr>
              <w:spacing w:before="60" w:after="60"/>
            </w:pPr>
            <w:r>
              <w:t>Gering</w:t>
            </w:r>
          </w:p>
        </w:tc>
        <w:tc>
          <w:tcPr>
            <w:tcW w:type="dxa" w:w="2268"/>
            <w:shd w:val="clear" w:color="auto" w:fill="F7F0FB"/>
          </w:tcPr>
          <w:p>
            <w:pPr>
              <w:spacing w:before="60" w:after="60"/>
            </w:pPr>
            <w:r>
              <w:t>Anregungen, was eine Checkliste abdeckt</w:t>
            </w:r>
          </w:p>
        </w:tc>
        <w:tc>
          <w:tcPr>
            <w:tcW w:type="dxa" w:w="1701"/>
            <w:shd w:val="clear" w:color="auto" w:fill="F7F0FB"/>
          </w:tcPr>
          <w:p>
            <w:pPr>
              <w:spacing w:before="60" w:after="60"/>
            </w:pPr>
            <w:r>
              <w:t>Konstruktionismus</w:t>
            </w:r>
          </w:p>
        </w:tc>
      </w:tr>
      <w:tr>
        <w:trPr>
          <w:cantSplit w:val="true"/>
        </w:trPr>
        <w:tc>
          <w:tcPr>
            <w:tcW w:type="dxa" w:w="1587"/>
          </w:tcPr>
          <w:p>
            <w:pPr>
              <w:spacing w:before="60" w:after="60"/>
            </w:pPr>
            <w:r>
              <w:rPr>
                <w:b/>
              </w:rPr>
              <w:t>Entscheidung im neuen Fall</w:t>
            </w:r>
          </w:p>
        </w:tc>
        <w:tc>
          <w:tcPr>
            <w:tcW w:type="dxa" w:w="2835"/>
          </w:tcPr>
          <w:p>
            <w:pPr>
              <w:spacing w:before="60" w:after="60"/>
            </w:pPr>
            <w:r>
              <w:t>Eine Entscheidung zu einer neuen Anfrage schreiben, die telefonisch eingeht</w:t>
            </w:r>
          </w:p>
        </w:tc>
        <w:tc>
          <w:tcPr>
            <w:tcW w:type="dxa" w:w="1247"/>
          </w:tcPr>
          <w:p>
            <w:pPr>
              <w:spacing w:before="60" w:after="60"/>
            </w:pPr>
            <w:r>
              <w:t>Keine</w:t>
            </w:r>
          </w:p>
        </w:tc>
        <w:tc>
          <w:tcPr>
            <w:tcW w:type="dxa" w:w="2268"/>
          </w:tcPr>
          <w:p>
            <w:pPr>
              <w:spacing w:before="60" w:after="60"/>
            </w:pPr>
            <w:r>
              <w:t>Nur die Verfahrensanweisung</w:t>
            </w:r>
          </w:p>
        </w:tc>
        <w:tc>
          <w:tcPr>
            <w:tcW w:type="dxa" w:w="1701"/>
          </w:tcPr>
          <w:p>
            <w:pPr>
              <w:spacing w:before="60" w:after="60"/>
            </w:pPr>
            <w:r>
              <w:t>Exploration</w:t>
            </w:r>
          </w:p>
        </w:tc>
      </w:tr>
      <w:tr>
        <w:trPr>
          <w:cantSplit w:val="true"/>
        </w:trPr>
        <w:tc>
          <w:tcPr>
            <w:tcW w:type="dxa" w:w="1587"/>
            <w:shd w:val="clear" w:color="auto" w:fill="F7F0FB"/>
          </w:tcPr>
          <w:p>
            <w:pPr>
              <w:spacing w:before="60" w:after="60"/>
            </w:pPr>
            <w:r>
              <w:rPr>
                <w:b/>
              </w:rPr>
              <w:t>Abschluss</w:t>
            </w:r>
          </w:p>
        </w:tc>
        <w:tc>
          <w:tcPr>
            <w:tcW w:type="dxa" w:w="2835"/>
            <w:shd w:val="clear" w:color="auto" w:fill="F7F0FB"/>
          </w:tcPr>
          <w:p>
            <w:pPr>
              <w:spacing w:before="60" w:after="60"/>
            </w:pPr>
            <w:r>
              <w:t>Lernen, wie eine zurückgehaltene Zahlung mit Lieferant und Freigebendem geklärt wird</w:t>
            </w:r>
          </w:p>
        </w:tc>
        <w:tc>
          <w:tcPr>
            <w:tcW w:type="dxa" w:w="1247"/>
            <w:shd w:val="clear" w:color="auto" w:fill="F7F0FB"/>
          </w:tcPr>
          <w:p>
            <w:pPr>
              <w:spacing w:before="60" w:after="60"/>
            </w:pPr>
            <w:r>
              <w:t>Umfassend</w:t>
            </w:r>
          </w:p>
        </w:tc>
        <w:tc>
          <w:tcPr>
            <w:tcW w:type="dxa" w:w="2268"/>
            <w:shd w:val="clear" w:color="auto" w:fill="F7F0FB"/>
          </w:tcPr>
          <w:p>
            <w:pPr>
              <w:spacing w:before="60" w:after="60"/>
            </w:pPr>
            <w:r>
              <w:t>Kurze Erklärung</w:t>
            </w:r>
          </w:p>
        </w:tc>
        <w:tc>
          <w:tcPr>
            <w:tcW w:type="dxa" w:w="1701"/>
            <w:shd w:val="clear" w:color="auto" w:fill="F7F0FB"/>
          </w:tcPr>
          <w:p>
            <w:pPr>
              <w:spacing w:before="60" w:after="60"/>
            </w:pPr>
            <w:r>
              <w:t>Direkte Instruktion</w:t>
            </w:r>
          </w:p>
        </w:tc>
      </w:tr>
    </w:tbl>
    <w:p>
      <w:pPr>
        <w:keepNext/>
        <w:spacing w:before="240" w:after="80"/>
      </w:pPr>
      <w:r>
        <w:rPr>
          <w:b/>
          <w:color w:val="5D008F"/>
          <w:sz w:val="28"/>
        </w:rPr>
        <w:t>Beispiel: die Bewertung des neuen Falls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Punkt</w:t>
            </w:r>
          </w:p>
        </w:tc>
        <w:tc>
          <w:tcPr>
            <w:tcW w:type="dxa" w:w="7087"/>
            <w:shd w:val="clear" w:color="auto" w:fill="5D008F"/>
          </w:tcPr>
          <w:p>
            <w:pPr>
              <w:spacing w:before="60" w:after="60"/>
            </w:pPr>
            <w:r/>
            <w:r>
              <w:rPr>
                <w:b/>
                <w:color w:val="FFFFFF"/>
              </w:rPr>
              <w:t>Kurs Kreditorenbuchhaltung</w:t>
            </w:r>
          </w:p>
        </w:tc>
      </w:tr>
      <w:tr>
        <w:trPr>
          <w:cantSplit w:val="true"/>
        </w:trPr>
        <w:tc>
          <w:tcPr>
            <w:tcW w:type="dxa" w:w="2551"/>
          </w:tcPr>
          <w:p>
            <w:pPr>
              <w:spacing w:before="60" w:after="60"/>
            </w:pPr>
            <w:r>
              <w:rPr>
                <w:b/>
              </w:rPr>
              <w:t>Der neue Fall</w:t>
            </w:r>
          </w:p>
        </w:tc>
        <w:tc>
          <w:tcPr>
            <w:tcW w:type="dxa" w:w="7087"/>
          </w:tcPr>
          <w:p>
            <w:pPr>
              <w:spacing w:before="60" w:after="60"/>
            </w:pPr>
            <w:r>
              <w:t>Ein anderer Lieferant; die Anfrage kommt telefonisch statt per E-Mail; andere Warnsignale. Die Antwort vom Dienstag lässt sich nicht wiederverwenden.</w:t>
            </w:r>
          </w:p>
        </w:tc>
      </w:tr>
      <w:tr>
        <w:trPr>
          <w:cantSplit w:val="true"/>
        </w:trPr>
        <w:tc>
          <w:tcPr>
            <w:tcW w:type="dxa" w:w="2551"/>
            <w:shd w:val="clear" w:color="auto" w:fill="F7F0FB"/>
          </w:tcPr>
          <w:p>
            <w:pPr>
              <w:spacing w:before="60" w:after="60"/>
            </w:pPr>
            <w:r>
              <w:rPr>
                <w:b/>
              </w:rPr>
              <w:t>Antwortformat</w:t>
            </w:r>
          </w:p>
        </w:tc>
        <w:tc>
          <w:tcPr>
            <w:tcW w:type="dxa" w:w="7087"/>
            <w:shd w:val="clear" w:color="auto" w:fill="F7F0FB"/>
          </w:tcPr>
          <w:p>
            <w:pPr>
              <w:spacing w:before="60" w:after="60"/>
            </w:pPr>
            <w:r>
              <w:t>Freitext: die Entscheidung und die Begründung dahinter.</w:t>
            </w:r>
          </w:p>
        </w:tc>
      </w:tr>
      <w:tr>
        <w:trPr>
          <w:cantSplit w:val="true"/>
        </w:trPr>
        <w:tc>
          <w:tcPr>
            <w:tcW w:type="dxa" w:w="2551"/>
          </w:tcPr>
          <w:p>
            <w:pPr>
              <w:spacing w:before="60" w:after="60"/>
            </w:pPr>
            <w:r>
              <w:rPr>
                <w:b/>
              </w:rPr>
              <w:t>Kriterium 1</w:t>
            </w:r>
          </w:p>
        </w:tc>
        <w:tc>
          <w:tcPr>
            <w:tcW w:type="dxa" w:w="7087"/>
          </w:tcPr>
          <w:p>
            <w:pPr>
              <w:spacing w:before="60" w:after="60"/>
            </w:pPr>
            <w:r>
              <w:t>Die Anfrage mit dem Lieferantenstammsatz abgeglichen.</w:t>
            </w:r>
          </w:p>
        </w:tc>
      </w:tr>
      <w:tr>
        <w:trPr>
          <w:cantSplit w:val="true"/>
        </w:trPr>
        <w:tc>
          <w:tcPr>
            <w:tcW w:type="dxa" w:w="2551"/>
            <w:shd w:val="clear" w:color="auto" w:fill="F7F0FB"/>
          </w:tcPr>
          <w:p>
            <w:pPr>
              <w:spacing w:before="60" w:after="60"/>
            </w:pPr>
            <w:r>
              <w:rPr>
                <w:b/>
              </w:rPr>
              <w:t>Kriterium 2</w:t>
            </w:r>
          </w:p>
        </w:tc>
        <w:tc>
          <w:tcPr>
            <w:tcW w:type="dxa" w:w="7087"/>
            <w:shd w:val="clear" w:color="auto" w:fill="F7F0FB"/>
          </w:tcPr>
          <w:p>
            <w:pPr>
              <w:spacing w:before="60" w:after="60"/>
            </w:pPr>
            <w:r>
              <w:t>Den Verifizierungsschritt aus der Verfahrensanweisung benannt.</w:t>
            </w:r>
          </w:p>
        </w:tc>
      </w:tr>
      <w:tr>
        <w:trPr>
          <w:cantSplit w:val="true"/>
        </w:trPr>
        <w:tc>
          <w:tcPr>
            <w:tcW w:type="dxa" w:w="2551"/>
          </w:tcPr>
          <w:p>
            <w:pPr>
              <w:spacing w:before="60" w:after="60"/>
            </w:pPr>
            <w:r>
              <w:rPr>
                <w:b/>
              </w:rPr>
              <w:t>Kriterium 3</w:t>
            </w:r>
          </w:p>
        </w:tc>
        <w:tc>
          <w:tcPr>
            <w:tcW w:type="dxa" w:w="7087"/>
          </w:tcPr>
          <w:p>
            <w:pPr>
              <w:spacing w:before="60" w:after="60"/>
            </w:pPr>
            <w:r>
              <w:t>Die nächste Maßnahme für den Zahlungslauf genannt.</w:t>
            </w:r>
          </w:p>
        </w:tc>
      </w:tr>
      <w:tr>
        <w:trPr>
          <w:cantSplit w:val="true"/>
        </w:trPr>
        <w:tc>
          <w:tcPr>
            <w:tcW w:type="dxa" w:w="2551"/>
            <w:shd w:val="clear" w:color="auto" w:fill="F7F0FB"/>
          </w:tcPr>
          <w:p>
            <w:pPr>
              <w:spacing w:before="60" w:after="60"/>
            </w:pPr>
            <w:r>
              <w:rPr>
                <w:b/>
              </w:rPr>
              <w:t>Faktencheck</w:t>
            </w:r>
          </w:p>
        </w:tc>
        <w:tc>
          <w:tcPr>
            <w:tcW w:type="dxa" w:w="7087"/>
            <w:shd w:val="clear" w:color="auto" w:fill="F7F0FB"/>
          </w:tcPr>
          <w:p>
            <w:pPr>
              <w:spacing w:before="60" w:after="60"/>
            </w:pPr>
            <w:r>
              <w:t>Kurze Multiple-Choice-Fragen nur zu Fakten des Verfahrens, etwa wer eine Änderung freigibt.</w:t>
            </w:r>
          </w:p>
        </w:tc>
      </w:tr>
      <w:tr>
        <w:trPr>
          <w:cantSplit w:val="true"/>
        </w:trPr>
        <w:tc>
          <w:tcPr>
            <w:tcW w:type="dxa" w:w="2551"/>
          </w:tcPr>
          <w:p>
            <w:pPr>
              <w:spacing w:before="60" w:after="60"/>
            </w:pPr>
            <w:r>
              <w:rPr>
                <w:b/>
              </w:rPr>
              <w:t>Später im Arbeitsalltag</w:t>
            </w:r>
          </w:p>
        </w:tc>
        <w:tc>
          <w:tcPr>
            <w:tcW w:type="dxa" w:w="7087"/>
          </w:tcPr>
          <w:p>
            <w:pPr>
              <w:spacing w:before="60" w:after="60"/>
            </w:pPr>
            <w:r>
              <w:t>Die Änderungsanfragen prüfen, die jede Fachkraft in den folgenden Wochen bearbeitet.</w:t>
            </w:r>
          </w:p>
        </w:tc>
      </w:tr>
    </w:tbl>
    <w:p>
      <w:pPr>
        <w:keepNext/>
        <w:pageBreakBefore/>
        <w:spacing w:before="240" w:after="80"/>
      </w:pPr>
      <w:r>
        <w:rPr>
          <w:b/>
          <w:color w:val="5D008F"/>
          <w:sz w:val="28"/>
        </w:rPr>
        <w:t>Ihr Modul: das Problem und das Fallpaket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Punkt</w:t>
            </w:r>
          </w:p>
        </w:tc>
        <w:tc>
          <w:tcPr>
            <w:tcW w:type="dxa" w:w="7087"/>
            <w:shd w:val="clear" w:color="auto" w:fill="5D008F"/>
          </w:tcPr>
          <w:p>
            <w:pPr>
              <w:spacing w:before="60" w:after="60"/>
            </w:pPr>
            <w:r/>
            <w:r>
              <w:rPr>
                <w:b/>
                <w:color w:val="FFFFFF"/>
              </w:rPr>
              <w:t>Ihr Kurs</w:t>
            </w:r>
          </w:p>
        </w:tc>
      </w:tr>
      <w:tr>
        <w:trPr>
          <w:cantSplit w:val="true"/>
          <w:trHeight w:val="1247"/>
        </w:trPr>
        <w:tc>
          <w:tcPr>
            <w:tcW w:type="dxa" w:w="2551"/>
          </w:tcPr>
          <w:p>
            <w:pPr>
              <w:spacing w:before="60" w:after="60"/>
            </w:pPr>
            <w:r>
              <w:rPr>
                <w:b/>
              </w:rPr>
              <w:t>Die Entscheidung, die Lernende falsch treffen</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Das Problem</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Fallpaket</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Die Regel, die den Fall entscheidet</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Angestrebtes Ergebnis</w:t>
            </w:r>
          </w:p>
        </w:tc>
        <w:tc>
          <w:tcPr>
            <w:tcW w:type="dxa" w:w="7087"/>
          </w:tcPr>
          <w:p>
            <w:pPr>
              <w:spacing w:before="60" w:after="60"/>
            </w:pPr>
            <w:r/>
          </w:p>
        </w:tc>
      </w:tr>
    </w:tbl>
    <w:p>
      <w:pPr>
        <w:keepNext/>
        <w:spacing w:before="240" w:after="80"/>
      </w:pPr>
      <w:r>
        <w:rPr>
          <w:b/>
          <w:color w:val="5D008F"/>
          <w:sz w:val="28"/>
        </w:rPr>
        <w:t>Ihr Modul: was die Lernenden bereits wissen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Frage</w:t>
            </w:r>
          </w:p>
        </w:tc>
        <w:tc>
          <w:tcPr>
            <w:tcW w:type="dxa" w:w="6236"/>
            <w:shd w:val="clear" w:color="auto" w:fill="5D008F"/>
          </w:tcPr>
          <w:p>
            <w:pPr>
              <w:spacing w:before="60" w:after="60"/>
            </w:pPr>
            <w:r/>
            <w:r>
              <w:rPr>
                <w:b/>
                <w:color w:val="FFFFFF"/>
              </w:rPr>
              <w:t>Ihre Antwort</w:t>
            </w:r>
          </w:p>
        </w:tc>
      </w:tr>
      <w:tr>
        <w:trPr>
          <w:cantSplit w:val="true"/>
          <w:trHeight w:val="1020"/>
        </w:trPr>
        <w:tc>
          <w:tcPr>
            <w:tcW w:type="dxa" w:w="3402"/>
          </w:tcPr>
          <w:p>
            <w:pPr>
              <w:spacing w:before="60" w:after="60"/>
            </w:pPr>
            <w:r>
              <w:rPr>
                <w:b/>
              </w:rPr>
              <w:t>Was können sie bereits?</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Was haben sie noch nicht getan?</w:t>
            </w:r>
          </w:p>
        </w:tc>
        <w:tc>
          <w:tcPr>
            <w:tcW w:type="dxa" w:w="6236"/>
            <w:shd w:val="clear" w:color="auto" w:fill="F7F0FB"/>
          </w:tcPr>
          <w:p>
            <w:pPr>
              <w:spacing w:before="60" w:after="60"/>
            </w:pPr>
            <w:r/>
          </w:p>
        </w:tc>
      </w:tr>
      <w:tr>
        <w:trPr>
          <w:cantSplit w:val="true"/>
          <w:trHeight w:val="1020"/>
        </w:trPr>
        <w:tc>
          <w:tcPr>
            <w:tcW w:type="dxa" w:w="3402"/>
          </w:tcPr>
          <w:p>
            <w:pPr>
              <w:spacing w:before="60" w:after="60"/>
            </w:pPr>
            <w:r>
              <w:rPr>
                <w:b/>
              </w:rPr>
              <w:t>Was glauben sie wahrscheinlich?</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Wie haben Sie das geprüft?</w:t>
            </w:r>
          </w:p>
        </w:tc>
        <w:tc>
          <w:tcPr>
            <w:tcW w:type="dxa" w:w="6236"/>
            <w:shd w:val="clear" w:color="auto" w:fill="F7F0FB"/>
          </w:tcPr>
          <w:p>
            <w:pPr>
              <w:spacing w:before="60" w:after="60"/>
            </w:pPr>
            <w:r/>
          </w:p>
        </w:tc>
      </w:tr>
    </w:tbl>
    <w:p>
      <w:pPr>
        <w:keepNext/>
        <w:pageBreakBefore/>
        <w:spacing w:before="240" w:after="80"/>
      </w:pPr>
      <w:r>
        <w:rPr>
          <w:b/>
          <w:color w:val="5D008F"/>
          <w:sz w:val="28"/>
        </w:rPr>
        <w:t>Ihr Modul: die Abfolge und die Unterstützung in jedem Schritt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Schritt</w:t>
            </w:r>
          </w:p>
        </w:tc>
        <w:tc>
          <w:tcPr>
            <w:tcW w:type="dxa" w:w="2835"/>
            <w:shd w:val="clear" w:color="auto" w:fill="5D008F"/>
          </w:tcPr>
          <w:p>
            <w:pPr>
              <w:spacing w:before="60" w:after="60"/>
            </w:pPr>
            <w:r/>
            <w:r>
              <w:rPr>
                <w:b/>
                <w:color w:val="FFFFFF"/>
              </w:rPr>
              <w:t>Was die Lernenden tun</w:t>
            </w:r>
          </w:p>
        </w:tc>
        <w:tc>
          <w:tcPr>
            <w:tcW w:type="dxa" w:w="1247"/>
            <w:shd w:val="clear" w:color="auto" w:fill="5D008F"/>
          </w:tcPr>
          <w:p>
            <w:pPr>
              <w:spacing w:before="60" w:after="60"/>
            </w:pPr>
            <w:r/>
            <w:r>
              <w:rPr>
                <w:b/>
                <w:color w:val="FFFFFF"/>
              </w:rPr>
              <w:t>Unterstützungsgrad</w:t>
            </w:r>
          </w:p>
        </w:tc>
        <w:tc>
          <w:tcPr>
            <w:tcW w:type="dxa" w:w="2268"/>
            <w:shd w:val="clear" w:color="auto" w:fill="5D008F"/>
          </w:tcPr>
          <w:p>
            <w:pPr>
              <w:spacing w:before="60" w:after="60"/>
            </w:pPr>
            <w:r/>
            <w:r>
              <w:rPr>
                <w:b/>
                <w:color w:val="FFFFFF"/>
              </w:rPr>
              <w:t>Verfügbare Unterstützung</w:t>
            </w:r>
          </w:p>
        </w:tc>
        <w:tc>
          <w:tcPr>
            <w:tcW w:type="dxa" w:w="1701"/>
            <w:shd w:val="clear" w:color="auto" w:fill="5D008F"/>
          </w:tcPr>
          <w:p>
            <w:pPr>
              <w:spacing w:before="60" w:after="60"/>
            </w:pPr>
            <w:r/>
            <w:r>
              <w:rPr>
                <w:b/>
                <w:color w:val="FFFFFF"/>
              </w:rPr>
              <w:t>Methode</w:t>
            </w:r>
          </w:p>
        </w:tc>
      </w:tr>
      <w:tr>
        <w:trPr>
          <w:cantSplit w:val="true"/>
          <w:trHeight w:val="1134"/>
        </w:trPr>
        <w:tc>
          <w:tcPr>
            <w:tcW w:type="dxa" w:w="1587"/>
          </w:tcPr>
          <w:p>
            <w:pPr>
              <w:spacing w:before="60" w:after="60"/>
            </w:pPr>
            <w:r>
              <w:rPr>
                <w:b/>
              </w:rPr>
              <w:t>Erster Versuch</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Durchgearbeitetes Beispiel</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Begleitetes Üben</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Begründungen vergleichen</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Eigenes Hilfsmittel erstellen</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Neuer Fall</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Abschluss</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bl>
    <w:p>
      <w:pPr>
        <w:keepNext/>
        <w:pageBreakBefore/>
        <w:spacing w:before="240" w:after="80"/>
      </w:pPr>
      <w:r>
        <w:rPr>
          <w:b/>
          <w:color w:val="5D008F"/>
          <w:sz w:val="28"/>
        </w:rPr>
        <w:t>Ihr Modul: die Bewertung des neuen Falls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Punkt</w:t>
            </w:r>
          </w:p>
        </w:tc>
        <w:tc>
          <w:tcPr>
            <w:tcW w:type="dxa" w:w="7087"/>
            <w:shd w:val="clear" w:color="auto" w:fill="5D008F"/>
          </w:tcPr>
          <w:p>
            <w:pPr>
              <w:spacing w:before="60" w:after="60"/>
            </w:pPr>
            <w:r/>
            <w:r>
              <w:rPr>
                <w:b/>
                <w:color w:val="FFFFFF"/>
              </w:rPr>
              <w:t>Ihr Kurs</w:t>
            </w:r>
          </w:p>
        </w:tc>
      </w:tr>
      <w:tr>
        <w:trPr>
          <w:cantSplit w:val="true"/>
          <w:trHeight w:val="1077"/>
        </w:trPr>
        <w:tc>
          <w:tcPr>
            <w:tcW w:type="dxa" w:w="2551"/>
          </w:tcPr>
          <w:p>
            <w:pPr>
              <w:spacing w:before="60" w:after="60"/>
            </w:pPr>
            <w:r>
              <w:rPr>
                <w:b/>
              </w:rPr>
              <w:t>Der neue Fall</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Antwortformat</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Kriterium 1</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Kriterium 2</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Kriterium 3</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Faktencheck</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Später im Arbeitsalltag</w:t>
            </w:r>
          </w:p>
        </w:tc>
        <w:tc>
          <w:tcPr>
            <w:tcW w:type="dxa" w:w="7087"/>
          </w:tcPr>
          <w:p>
            <w:pPr>
              <w:spacing w:before="60" w:after="60"/>
            </w:pPr>
            <w:r/>
          </w:p>
        </w:tc>
      </w:tr>
    </w:tbl>
    <w:p>
      <w:pPr>
        <w:keepNext/>
        <w:pageBreakBefore/>
        <w:spacing w:before="240" w:after="80"/>
      </w:pPr>
      <w:r>
        <w:rPr>
          <w:b/>
          <w:color w:val="5D008F"/>
          <w:sz w:val="28"/>
        </w:rPr>
        <w:t>Prüfen Sie Ihren Plan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953"/>
            <w:shd w:val="clear" w:color="auto" w:fill="5D008F"/>
          </w:tcPr>
          <w:p>
            <w:pPr>
              <w:spacing w:before="60" w:after="60"/>
            </w:pPr>
            <w:r/>
            <w:r>
              <w:rPr>
                <w:b/>
                <w:color w:val="FFFFFF"/>
              </w:rPr>
              <w:t>Prüfpunkt</w:t>
            </w:r>
          </w:p>
        </w:tc>
        <w:tc>
          <w:tcPr>
            <w:tcW w:type="dxa" w:w="3685"/>
            <w:shd w:val="clear" w:color="auto" w:fill="5D008F"/>
          </w:tcPr>
          <w:p>
            <w:pPr>
              <w:spacing w:before="60" w:after="60"/>
            </w:pPr>
            <w:r/>
            <w:r>
              <w:rPr>
                <w:b/>
                <w:color w:val="FFFFFF"/>
              </w:rPr>
              <w:t>Ja oder Notizen</w:t>
            </w:r>
          </w:p>
        </w:tc>
      </w:tr>
      <w:tr>
        <w:trPr>
          <w:cantSplit w:val="true"/>
          <w:trHeight w:val="850"/>
        </w:trPr>
        <w:tc>
          <w:tcPr>
            <w:tcW w:type="dxa" w:w="5953"/>
          </w:tcPr>
          <w:p>
            <w:pPr>
              <w:spacing w:before="60" w:after="60"/>
            </w:pPr>
            <w:r>
              <w:t>Bietet das Fallpaket den Lernenden alles, was die Entscheidung erfordert?</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Haben Sie geprüft, was die Lernenden bereits wissen, statt es anzunehmen?</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Passt die Anfangsreihenfolge zum Vorwissen, bei Bedarf mit einem durchgearbeiteten Beispiel zuerst?</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Gibt es vor dem begleiteten Üben ein durchgearbeitetes Beispiel?</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Nimmt die Unterstützung von Schritt zu Schritt ab und endet beim neuen Fall bei keiner?</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Unterscheidet sich der neue Fall so deutlich, dass die erste Antwort nicht wiederverwendet werden kann?</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Bewertet die abschließende Aufgabe die Entscheidung und die Begründung dahinter?</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Wissen Sie, wie Sie die Arbeit später im Alltag überprüfen werden?</w:t>
            </w:r>
          </w:p>
        </w:tc>
        <w:tc>
          <w:tcPr>
            <w:tcW w:type="dxa" w:w="3685"/>
            <w:shd w:val="clear" w:color="auto" w:fill="F7F0FB"/>
          </w:tcPr>
          <w:p>
            <w:pPr>
              <w:spacing w:before="60" w:after="60"/>
            </w:pPr>
            <w:r/>
          </w:p>
        </w:tc>
      </w:tr>
    </w:tbl>
    <w:p>
      <w:pPr>
        <w:spacing w:before="160"/>
      </w:pPr>
      <w:r>
        <w:rPr>
          <w:i/>
          <w:color w:val="5A5766"/>
        </w:rPr>
        <w:t>Eigene Adaption von Coursebox. Methodenquellen: Collins, A., Brown, J. S. und Newman, S. E. (1989) Cognitive apprenticeship; Savery, J. R. (2006) Overview of problem-based learning; Sinha, T. und Kapur, M. (2021) When problem solving followed by instruction works. Dieser Planer ergibt keinen Punktwert: Ein ausgefüllter Plan belegt nicht, dass die Lernenden im Arbeitsalltag gut entscheiden. Testen Sie ihn in einem Pilotdurchlauf und prüfen Sie die Arbeitsergebnisse.</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kostenlose Vorlage  |  Seite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