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 xml:space="preserve">案例推理与个人核查清单表</w:t>
      </w:r>
    </w:p>
    <w:p>
      <w:r>
        <w:rPr>
          <w:color w:val="5A5766"/>
          <w:sz w:val="22"/>
        </w:rPr>
        <w:t xml:space="preserve">供一位学员处理一个案例时使用：记录第一次答案和最终答案，比较两位同事的推理，对照书面标准核查决定，并为下一个案例构建个人核查清单。本表是 Coursebox 对认知学徒制中反思与阐述方法（Collins、Brown 和 Holum，1991）的自有改编。它是学习辅助工具，而非经过验证的测评工具：不产生分数，也不证明胜任能力。文中以一位虚构的应付账款专员的表格作为填写示例。</w:t>
      </w:r>
    </w:p>
    <w:p>
      <w:r>
        <w:rPr>
          <w:i/>
          <w:color w:val="5A5766"/>
          <w:sz w:val="18"/>
        </w:rPr>
        <w:t xml:space="preserve">来自 Coursebox 博客：coursebox.ai/blog/constructivism-learning-theory-and-its-elearning-application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 xml:space="preserve">如何使用本表</w:t>
      </w:r>
    </w:p>
    <w:p>
      <w:pPr>
        <w:pStyle w:val="ListBullet"/>
      </w:pPr>
      <w:r>
        <w:t xml:space="preserve">问题优先版本：在讲解之前记录第一次答案。如果学员无从下手，请先给出范例。</w:t>
      </w:r>
    </w:p>
    <w:p>
      <w:pPr>
        <w:pStyle w:val="ListBullet"/>
      </w:pPr>
      <w:r>
        <w:t xml:space="preserve">在范例和有指导的练习之后写出最终答案。两次答案之间的差异，就是推理发生变化的证据。</w:t>
      </w:r>
    </w:p>
    <w:p>
      <w:pPr>
        <w:pStyle w:val="ListBullet"/>
      </w:pPr>
      <w:r>
        <w:t xml:space="preserve">比较两位同事对同一案例的决定。说明您认同哪种推理及原因，而不仅仅是哪个答案正确。</w:t>
      </w:r>
    </w:p>
    <w:p>
      <w:pPr>
        <w:pStyle w:val="ListBullet"/>
      </w:pPr>
      <w:r>
        <w:t xml:space="preserve">对照每条标准核查最终决定，并写一条简短的书面备注。这些备注是反馈的提示，不是分数。</w:t>
      </w:r>
    </w:p>
    <w:p>
      <w:pPr>
        <w:pStyle w:val="ListBullet"/>
      </w:pPr>
      <w:r>
        <w:t xml:space="preserve">最后，用自己的话为下一个案例写出您自己的核查清单。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范例：第一次答案与最终答案</w:t>
      </w:r>
    </w:p>
    <w:p>
      <w:r>
        <w:t xml:space="preserve">虚构示例。一位新入职的应付账款专员处理周二的案例：一家合作多年的包装供应商的常用联系人发来邮件，要求应付账款部门更改“本周起所有付款”的银行账户。一张 48,600 美元的发票将在周四的批次中到期，且发件人的域名与平时使用的域名相差一个字母。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198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</w:r>
          </w:p>
        </w:tc>
        <w:tc>
          <w:tcPr>
            <w:tcW w:type="dxa" w:w="76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专员的答案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第一次答案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>
              <w:t xml:space="preserve">更新银行信息，因为申请来自我们一直打交道的联系人，信函也印有他们的信笺抬头。周四照常付款。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最终答案</w:t>
            </w:r>
          </w:p>
        </w:tc>
        <w:tc>
          <w:tcPr>
            <w:tcW w:type="dxa" w:w="7654"/>
            <w:shd w:val="clear" w:color="auto" w:fill="F7F0FB"/>
          </w:tcPr>
          <w:p>
            <w:pPr>
              <w:spacing w:before="60" w:after="60"/>
            </w:pPr>
            <w:r>
              <w:t xml:space="preserve">暂缓变更，并暂缓 48,600 美元的付款。发件人的域名与供应商主数据中的域名相差一个字母，而且记录显示四年内没有任何变更。拨打留档的供应商电话，不要使用邮件或信函中的任何号码，并且在任何变更之前取得另一位专员的批准。告知审批人周四的付款已暂缓。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我的推理发生了什么变化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>
              <w:t xml:space="preserve">我以前信任发件人的名字。现在，无论申请看起来来自谁，我都会对照供应商记录和流程来核查。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范例：比较同事的推理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同事的决定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他们的推理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我是否认同，为什么？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  <w:t xml:space="preserve">周四付款并更新信息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 xml:space="preserve">熟悉的联系人、信笺抬头、供应商称已更换银行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 xml:space="preserve">不认同。申请中没有任何内容与供应商记录核对过，而流程要求拨打留档的号码。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暂缓付款并拨打留档的号码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 xml:space="preserve">域名不符、四年来首次变更、邮件中有截止时间压力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 xml:space="preserve">认同。这符合流程，并解释了哪些细节不吻合。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范例：核查最终决定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标准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尚未达到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达到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更进一步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反馈备注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 xml:space="preserve">对照供应商主数据记录核查了申请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依赖发件人的名字或信笺抬头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将域名、银行信息和变更历史与记录比对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还指出了哪个细节本来容易被忽略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 xml:space="preserve">比对了域名和变更历史。下次也要将信函中的银行信息与记录比对。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指出了流程中的核实步骤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 xml:space="preserve">没有致电，或拨打了申请中的号码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 xml:space="preserve">拨打留档的号码并要求第二人批准</w:t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>
              <w:t xml:space="preserve">说明了致电和第二位专员的批准</w:t>
            </w:r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t xml:space="preserve">两个步骤都写明了。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  <w:t xml:space="preserve">说明了付款批次的下一步行动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让付款保持原样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在变更核实之前暂缓付款</w:t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>
              <w:t xml:space="preserve">还说明了通知谁以及何时通知</w:t>
            </w:r>
          </w:p>
        </w:tc>
        <w:tc>
          <w:tcPr>
            <w:tcW w:type="dxa" w:w="2154"/>
          </w:tcPr>
          <w:p>
            <w:pPr>
              <w:spacing w:before="60" w:after="60"/>
            </w:pPr>
            <w:r>
              <w:t xml:space="preserve">暂缓了付款并通知了审批人。</w:t>
            </w:r>
          </w:p>
        </w:tc>
      </w:tr>
    </w:tbl>
    <w:p>
      <w:pPr>
        <w:spacing w:before="160"/>
      </w:pPr>
      <w:r>
        <w:t xml:space="preserve">这些描述是书面反馈的提示。不要把它们加总成分数：核查了记录却仍然支付发票的决定，说明案例没有通过。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 xml:space="preserve">范例：我对下一次申请的核查清单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我的核查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原因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 xml:space="preserve">逐个字母比对发件人地址与供应商主数据中的联系人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 xml:space="preserve">近似的域名乍看之下很像对的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查看该供应商的变更历史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 xml:space="preserve">多年来的首次变更需要更仔细地审视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 xml:space="preserve">拨打留档的号码，绝不使用申请中的号码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 xml:space="preserve">流程有此规定，而且申请中的号码可能属于欺诈者</w:t>
            </w:r>
          </w:p>
        </w:tc>
      </w:tr>
      <w:tr>
        <w:trPr>
          <w:cantSplit w:val="true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在下一笔付款之前取得另一位专员的批准</w:t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t xml:space="preserve">流程要求如此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  <w:t xml:space="preserve">变更核实之前，暂缓任何到期的付款</w:t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>
              <w:t xml:space="preserve">先付款就很难撤回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您的案例：第一次答案与最终答案</w:t>
      </w:r>
    </w:p>
    <w:p>
      <w:r>
        <w:t xml:space="preserve">案例：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198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</w:r>
          </w:p>
        </w:tc>
        <w:tc>
          <w:tcPr>
            <w:tcW w:type="dxa" w:w="76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您的答案</w:t>
            </w:r>
          </w:p>
        </w:tc>
      </w:tr>
      <w:tr>
        <w:trPr>
          <w:cantSplit w:val="true"/>
          <w:trHeight w:val="2154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第一次答案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154"/>
        </w:trPr>
        <w:tc>
          <w:tcPr>
            <w:tcW w:type="dxa" w:w="198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 xml:space="preserve">最终答案</w:t>
            </w:r>
          </w:p>
        </w:tc>
        <w:tc>
          <w:tcPr>
            <w:tcW w:type="dxa" w:w="76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2154"/>
        </w:trPr>
        <w:tc>
          <w:tcPr>
            <w:tcW w:type="dxa" w:w="1984"/>
          </w:tcPr>
          <w:p>
            <w:pPr>
              <w:spacing w:before="60" w:after="60"/>
            </w:pPr>
            <w:r>
              <w:rPr>
                <w:b/>
              </w:rPr>
              <w:t xml:space="preserve">我的推理发生了什么变化</w:t>
            </w:r>
          </w:p>
        </w:tc>
        <w:tc>
          <w:tcPr>
            <w:tcW w:type="dxa" w:w="76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您的案例：比较同事的推理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同事的决定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他们的推理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我是否认同，为什么？</w:t>
            </w:r>
          </w:p>
        </w:tc>
      </w:tr>
      <w:tr>
        <w:trPr>
          <w:cantSplit w:val="true"/>
          <w:trHeight w:val="1814"/>
        </w:trPr>
        <w:tc>
          <w:tcPr>
            <w:tcW w:type="dxa" w:w="2268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  <w:tc>
          <w:tcPr>
            <w:tcW w:type="dxa" w:w="368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814"/>
        </w:trPr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 xml:space="preserve">您的案例：核查最终决定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标准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尚未达到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达到</w:t>
            </w:r>
          </w:p>
        </w:tc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更进一步</w:t>
            </w:r>
          </w:p>
        </w:tc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反馈备注</w:t>
            </w:r>
          </w:p>
        </w:tc>
      </w:tr>
      <w:tr>
        <w:trPr>
          <w:cantSplit w:val="true"/>
          <w:trHeight w:val="1361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361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1814"/>
          </w:tcPr>
          <w:p>
            <w:pPr>
              <w:spacing w:before="60" w:after="60"/>
            </w:pPr>
            <w:r/>
          </w:p>
        </w:tc>
        <w:tc>
          <w:tcPr>
            <w:tcW w:type="dxa" w:w="2154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 xml:space="preserve">您的下一个案例核查清单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我的核查</w:t>
            </w:r>
          </w:p>
        </w:tc>
        <w:tc>
          <w:tcPr>
            <w:tcW w:type="dxa" w:w="481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 xml:space="preserve">原因</w:t>
            </w:r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4819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 xml:space="preserve">Coursebox 对 Collins, A.、Brown, J. S. 和 Holum, A.（1991）所述阐述与反思方法的自有改编，原文为 Cognitive apprenticeship: Making thinking visible. American Educator, 15(3)。标准描述是规划提示，而非经过验证的评分标准，本表也不产生分数。请在岗位上检查该清单是否被使用。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免费模板  |  页码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YaHe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