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Casusredeneerblad en persoonlijke checklist</w:t>
      </w:r>
    </w:p>
    <w:p>
      <w:r>
        <w:rPr>
          <w:color w:val="5A5766"/>
          <w:sz w:val="22"/>
        </w:rPr>
        <w:t>Voor één cursist die één casus uitwerkt: leg het eerste en het uiteindelijke antwoord vast, vergelijk de redenering van twee collega's, toets de beslissing aan schriftelijke criteria en bouw een persoonlijke checklist voor de volgende casus. Dit is de eigen bewerking van Coursebox van de reflectie- en verwoordingsmethoden in cognitive apprenticeship (Collins, Brown en Holum, 1991). Een leerhulpmiddel, geen gevalideerd instrument: er komt geen score uit en het certificeert geen bekwaamheid. Als voorbeeld is het blad van een fictieve medewerker crediteurenadministratie ingevuld.</w:t>
      </w:r>
    </w:p>
    <w:p>
      <w:r>
        <w:rPr>
          <w:i/>
          <w:color w:val="5A5766"/>
          <w:sz w:val="18"/>
        </w:rPr>
        <w:t>Van de Coursebox-blog: coursebox.ai/blog/constructivism-learning-theory-and-its-elearning-application</w:t>
      </w:r>
    </w:p>
    <w:p>
      <w:pPr>
        <w:keepNext/>
        <w:spacing w:before="240" w:after="80"/>
      </w:pPr>
      <w:r>
        <w:rPr>
          <w:b/>
          <w:color w:val="5D008F"/>
          <w:sz w:val="28"/>
        </w:rPr>
        <w:t>Zo gebruik je dit blad</w:t>
      </w:r>
    </w:p>
    <w:p>
      <w:pPr>
        <w:pStyle w:val="ListBullet"/>
      </w:pPr>
      <w:r>
        <w:t>Leg bij de versie met het probleem eerst het eerste antwoord vast, vóór de uitleg. Kunnen cursisten niet beginnen, gebruik dan eerst een uitgewerkt voorbeeld.</w:t>
      </w:r>
    </w:p>
    <w:p>
      <w:pPr>
        <w:pStyle w:val="ListBullet"/>
      </w:pPr>
      <w:r>
        <w:t>Schrijf het uiteindelijke antwoord na het uitgewerkte voorbeeld en het begeleid oefenen. Het verschil tussen de twee is het bewijs dat de redenering is veranderd.</w:t>
      </w:r>
    </w:p>
    <w:p>
      <w:pPr>
        <w:pStyle w:val="ListBullet"/>
      </w:pPr>
      <w:r>
        <w:t>Vergelijk de beslissingen van twee collega's in dezelfde casus. Geef aan met welke redenering je het eens bent en waarom, niet alleen welk antwoord juist is.</w:t>
      </w:r>
    </w:p>
    <w:p>
      <w:pPr>
        <w:pStyle w:val="ListBullet"/>
      </w:pPr>
      <w:r>
        <w:t>Toets de uiteindelijke beslissing aan elk criterium met een korte schriftelijke notitie. De notities zijn aanleidingen voor feedback, geen cijfers.</w:t>
      </w:r>
    </w:p>
    <w:p>
      <w:pPr>
        <w:pStyle w:val="ListBullet"/>
      </w:pPr>
      <w:r>
        <w:t>Sluit af met je eigen checklist voor de volgende casus, in je eigen woorden.</w:t>
      </w:r>
    </w:p>
    <w:p>
      <w:pPr>
        <w:keepNext/>
        <w:pageBreakBefore/>
        <w:spacing w:before="240" w:after="80"/>
      </w:pPr>
      <w:r>
        <w:rPr>
          <w:b/>
          <w:color w:val="5D008F"/>
          <w:sz w:val="28"/>
        </w:rPr>
        <w:t>Uitgewerkt voorbeeld: eerste en uiteindelijke antwoord</w:t>
      </w:r>
    </w:p>
    <w:p>
      <w:r>
        <w:t>Fictief voorbeeld. Een nieuwe medewerker crediteurenadministratie werkt de casus van dinsdag uit: een e-mail van de vaste contactpersoon bij een leverancier van verpakkingen die al jaren meegaat, vraagt om het bankrekeningnummer te wijzigen "voor alle betalingen vanaf deze week". In de run van donderdag staat een factuur van $48.600 gepland en het domein van de afzender wijkt met één letter af van het gebruikelijke domein.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1984"/>
            <w:shd w:val="clear" w:color="auto" w:fill="5D008F"/>
          </w:tcPr>
          <w:p>
            <w:pPr>
              <w:spacing w:before="60" w:after="60"/>
            </w:pPr>
            <w:r/>
            <w:r>
              <w:rPr>
                <w:b/>
                <w:color w:val="FFFFFF"/>
              </w:rPr>
            </w:r>
          </w:p>
        </w:tc>
        <w:tc>
          <w:tcPr>
            <w:tcW w:type="dxa" w:w="7654"/>
            <w:shd w:val="clear" w:color="auto" w:fill="5D008F"/>
          </w:tcPr>
          <w:p>
            <w:pPr>
              <w:spacing w:before="60" w:after="60"/>
            </w:pPr>
            <w:r/>
            <w:r>
              <w:rPr>
                <w:b/>
                <w:color w:val="FFFFFF"/>
              </w:rPr>
              <w:t>Het antwoord van de medewerker</w:t>
            </w:r>
          </w:p>
        </w:tc>
      </w:tr>
      <w:tr>
        <w:trPr>
          <w:cantSplit w:val="true"/>
        </w:trPr>
        <w:tc>
          <w:tcPr>
            <w:tcW w:type="dxa" w:w="1984"/>
          </w:tcPr>
          <w:p>
            <w:pPr>
              <w:spacing w:before="60" w:after="60"/>
            </w:pPr>
            <w:r>
              <w:rPr>
                <w:b/>
              </w:rPr>
              <w:t>Eerste antwoord</w:t>
            </w:r>
          </w:p>
        </w:tc>
        <w:tc>
          <w:tcPr>
            <w:tcW w:type="dxa" w:w="7654"/>
          </w:tcPr>
          <w:p>
            <w:pPr>
              <w:spacing w:before="60" w:after="60"/>
            </w:pPr>
            <w:r>
              <w:t>Pas de bankgegevens aan, want het verzoek komt van de contactpersoon met wie we altijd zaken doen en de brief staat op hun briefpapier. Betaal donderdag zoals gewoonlijk.</w:t>
            </w:r>
          </w:p>
        </w:tc>
      </w:tr>
      <w:tr>
        <w:trPr>
          <w:cantSplit w:val="true"/>
        </w:trPr>
        <w:tc>
          <w:tcPr>
            <w:tcW w:type="dxa" w:w="1984"/>
            <w:shd w:val="clear" w:color="auto" w:fill="F7F0FB"/>
          </w:tcPr>
          <w:p>
            <w:pPr>
              <w:spacing w:before="60" w:after="60"/>
            </w:pPr>
            <w:r>
              <w:rPr>
                <w:b/>
              </w:rPr>
              <w:t>Uiteindelijk antwoord</w:t>
            </w:r>
          </w:p>
        </w:tc>
        <w:tc>
          <w:tcPr>
            <w:tcW w:type="dxa" w:w="7654"/>
            <w:shd w:val="clear" w:color="auto" w:fill="F7F0FB"/>
          </w:tcPr>
          <w:p>
            <w:pPr>
              <w:spacing w:before="60" w:after="60"/>
            </w:pPr>
            <w:r>
              <w:t>Houd de wijziging en de betaling van $48.600 vast. Het domein van de afzender wijkt één letter af van het domein in het leveranciersstamrecord en het record toont vier jaar geen wijziging. Bel de leverancier op het nummer dat al in het dossier staat, niet op een nummer uit de e-mail of de brief, en laat een tweede medewerker goedkeuring geven vóór elke wijziging. Meld aan de fiatteur dat de betaling van donderdag is vastgehouden.</w:t>
            </w:r>
          </w:p>
        </w:tc>
      </w:tr>
      <w:tr>
        <w:trPr>
          <w:cantSplit w:val="true"/>
        </w:trPr>
        <w:tc>
          <w:tcPr>
            <w:tcW w:type="dxa" w:w="1984"/>
          </w:tcPr>
          <w:p>
            <w:pPr>
              <w:spacing w:before="60" w:after="60"/>
            </w:pPr>
            <w:r>
              <w:rPr>
                <w:b/>
              </w:rPr>
              <w:t>Wat er in mijn redenering is veranderd</w:t>
            </w:r>
          </w:p>
        </w:tc>
        <w:tc>
          <w:tcPr>
            <w:tcW w:type="dxa" w:w="7654"/>
          </w:tcPr>
          <w:p>
            <w:pPr>
              <w:spacing w:before="60" w:after="60"/>
            </w:pPr>
            <w:r>
              <w:t>Ik vertrouwde op de naam van de afzender. Nu toets ik het verzoek aan het leveranciersrecord en de procedure, van wie het ook lijkt te komen.</w:t>
            </w:r>
          </w:p>
        </w:tc>
      </w:tr>
    </w:tbl>
    <w:p>
      <w:pPr>
        <w:keepNext/>
        <w:spacing w:before="240" w:after="80"/>
      </w:pPr>
      <w:r>
        <w:rPr>
          <w:b/>
          <w:color w:val="5D008F"/>
          <w:sz w:val="28"/>
        </w:rPr>
        <w:t>Uitgewerkt voorbeeld: de redenering van collega's vergelijken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2268"/>
            <w:shd w:val="clear" w:color="auto" w:fill="5D008F"/>
          </w:tcPr>
          <w:p>
            <w:pPr>
              <w:spacing w:before="60" w:after="60"/>
            </w:pPr>
            <w:r/>
            <w:r>
              <w:rPr>
                <w:b/>
                <w:color w:val="FFFFFF"/>
              </w:rPr>
              <w:t>Beslissing van de collega</w:t>
            </w:r>
          </w:p>
        </w:tc>
        <w:tc>
          <w:tcPr>
            <w:tcW w:type="dxa" w:w="3685"/>
            <w:shd w:val="clear" w:color="auto" w:fill="5D008F"/>
          </w:tcPr>
          <w:p>
            <w:pPr>
              <w:spacing w:before="60" w:after="60"/>
            </w:pPr>
            <w:r/>
            <w:r>
              <w:rPr>
                <w:b/>
                <w:color w:val="FFFFFF"/>
              </w:rPr>
              <w:t>Hun redenering</w:t>
            </w:r>
          </w:p>
        </w:tc>
        <w:tc>
          <w:tcPr>
            <w:tcW w:type="dxa" w:w="3685"/>
            <w:shd w:val="clear" w:color="auto" w:fill="5D008F"/>
          </w:tcPr>
          <w:p>
            <w:pPr>
              <w:spacing w:before="60" w:after="60"/>
            </w:pPr>
            <w:r/>
            <w:r>
              <w:rPr>
                <w:b/>
                <w:color w:val="FFFFFF"/>
              </w:rPr>
              <w:t>Ben ik het eens, en waarom?</w:t>
            </w:r>
          </w:p>
        </w:tc>
      </w:tr>
      <w:tr>
        <w:trPr>
          <w:cantSplit w:val="true"/>
        </w:trPr>
        <w:tc>
          <w:tcPr>
            <w:tcW w:type="dxa" w:w="2268"/>
          </w:tcPr>
          <w:p>
            <w:pPr>
              <w:spacing w:before="60" w:after="60"/>
            </w:pPr>
            <w:r>
              <w:rPr>
                <w:b/>
              </w:rPr>
              <w:t>Betaalt donderdag en past de gegevens aan</w:t>
            </w:r>
          </w:p>
        </w:tc>
        <w:tc>
          <w:tcPr>
            <w:tcW w:type="dxa" w:w="3685"/>
          </w:tcPr>
          <w:p>
            <w:pPr>
              <w:spacing w:before="60" w:after="60"/>
            </w:pPr>
            <w:r>
              <w:t>Bekende contactpersoon, briefpapier, leverancier zei van bank te zijn veranderd</w:t>
            </w:r>
          </w:p>
        </w:tc>
        <w:tc>
          <w:tcPr>
            <w:tcW w:type="dxa" w:w="3685"/>
          </w:tcPr>
          <w:p>
            <w:pPr>
              <w:spacing w:before="60" w:after="60"/>
            </w:pPr>
            <w:r>
              <w:t>Nee. Er is niets in het verzoek getoetst aan het leveranciersrecord en de procedure eist een telefoontje naar het nummer in het dossier.</w:t>
            </w:r>
          </w:p>
        </w:tc>
      </w:tr>
      <w:tr>
        <w:trPr>
          <w:cantSplit w:val="true"/>
        </w:trPr>
        <w:tc>
          <w:tcPr>
            <w:tcW w:type="dxa" w:w="2268"/>
            <w:shd w:val="clear" w:color="auto" w:fill="F7F0FB"/>
          </w:tcPr>
          <w:p>
            <w:pPr>
              <w:spacing w:before="60" w:after="60"/>
            </w:pPr>
            <w:r>
              <w:rPr>
                <w:b/>
              </w:rPr>
              <w:t>Houdt de betaling vast en belt het nummer in het dossier</w:t>
            </w:r>
          </w:p>
        </w:tc>
        <w:tc>
          <w:tcPr>
            <w:tcW w:type="dxa" w:w="3685"/>
            <w:shd w:val="clear" w:color="auto" w:fill="F7F0FB"/>
          </w:tcPr>
          <w:p>
            <w:pPr>
              <w:spacing w:before="60" w:after="60"/>
            </w:pPr>
            <w:r>
              <w:t>Domein klopt niet, eerste wijziging in vier jaar, tijdsdruk in de e-mail</w:t>
            </w:r>
          </w:p>
        </w:tc>
        <w:tc>
          <w:tcPr>
            <w:tcW w:type="dxa" w:w="3685"/>
            <w:shd w:val="clear" w:color="auto" w:fill="F7F0FB"/>
          </w:tcPr>
          <w:p>
            <w:pPr>
              <w:spacing w:before="60" w:after="60"/>
            </w:pPr>
            <w:r>
              <w:t>Ja. Dit volgt de procedure en legt uit welke gegevens niet klopten.</w:t>
            </w:r>
          </w:p>
        </w:tc>
      </w:tr>
    </w:tbl>
    <w:p>
      <w:pPr>
        <w:keepNext/>
        <w:pageBreakBefore/>
        <w:spacing w:before="240" w:after="80"/>
      </w:pPr>
      <w:r>
        <w:rPr>
          <w:b/>
          <w:color w:val="5D008F"/>
          <w:sz w:val="28"/>
        </w:rPr>
        <w:t>Uitgewerkt voorbeeld: de uiteindelijke beslissing toetsen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2041"/>
            <w:shd w:val="clear" w:color="auto" w:fill="5D008F"/>
          </w:tcPr>
          <w:p>
            <w:pPr>
              <w:spacing w:before="60" w:after="60"/>
            </w:pPr>
            <w:r/>
            <w:r>
              <w:rPr>
                <w:b/>
                <w:color w:val="FFFFFF"/>
              </w:rPr>
              <w:t>Criterium</w:t>
            </w:r>
          </w:p>
        </w:tc>
        <w:tc>
          <w:tcPr>
            <w:tcW w:type="dxa" w:w="1814"/>
            <w:shd w:val="clear" w:color="auto" w:fill="5D008F"/>
          </w:tcPr>
          <w:p>
            <w:pPr>
              <w:spacing w:before="60" w:after="60"/>
            </w:pPr>
            <w:r/>
            <w:r>
              <w:rPr>
                <w:b/>
                <w:color w:val="FFFFFF"/>
              </w:rPr>
              <w:t>Nog niet</w:t>
            </w:r>
          </w:p>
        </w:tc>
        <w:tc>
          <w:tcPr>
            <w:tcW w:type="dxa" w:w="1814"/>
            <w:shd w:val="clear" w:color="auto" w:fill="5D008F"/>
          </w:tcPr>
          <w:p>
            <w:pPr>
              <w:spacing w:before="60" w:after="60"/>
            </w:pPr>
            <w:r/>
            <w:r>
              <w:rPr>
                <w:b/>
                <w:color w:val="FFFFFF"/>
              </w:rPr>
              <w:t>Voldoet</w:t>
            </w:r>
          </w:p>
        </w:tc>
        <w:tc>
          <w:tcPr>
            <w:tcW w:type="dxa" w:w="1814"/>
            <w:shd w:val="clear" w:color="auto" w:fill="5D008F"/>
          </w:tcPr>
          <w:p>
            <w:pPr>
              <w:spacing w:before="60" w:after="60"/>
            </w:pPr>
            <w:r/>
            <w:r>
              <w:rPr>
                <w:b/>
                <w:color w:val="FFFFFF"/>
              </w:rPr>
              <w:t>Gaat verder</w:t>
            </w:r>
          </w:p>
        </w:tc>
        <w:tc>
          <w:tcPr>
            <w:tcW w:type="dxa" w:w="2154"/>
            <w:shd w:val="clear" w:color="auto" w:fill="5D008F"/>
          </w:tcPr>
          <w:p>
            <w:pPr>
              <w:spacing w:before="60" w:after="60"/>
            </w:pPr>
            <w:r/>
            <w:r>
              <w:rPr>
                <w:b/>
                <w:color w:val="FFFFFF"/>
              </w:rPr>
              <w:t>Feedbacknotitie</w:t>
            </w:r>
          </w:p>
        </w:tc>
      </w:tr>
      <w:tr>
        <w:trPr>
          <w:cantSplit w:val="true"/>
        </w:trPr>
        <w:tc>
          <w:tcPr>
            <w:tcW w:type="dxa" w:w="2041"/>
          </w:tcPr>
          <w:p>
            <w:pPr>
              <w:spacing w:before="60" w:after="60"/>
            </w:pPr>
            <w:r>
              <w:rPr>
                <w:b/>
              </w:rPr>
              <w:t>Het verzoek getoetst aan het leveranciersstamrecord</w:t>
            </w:r>
          </w:p>
        </w:tc>
        <w:tc>
          <w:tcPr>
            <w:tcW w:type="dxa" w:w="1814"/>
          </w:tcPr>
          <w:p>
            <w:pPr>
              <w:spacing w:before="60" w:after="60"/>
            </w:pPr>
            <w:r>
              <w:t>Vertrouwt op de naam van de afzender of het briefpapier</w:t>
            </w:r>
          </w:p>
        </w:tc>
        <w:tc>
          <w:tcPr>
            <w:tcW w:type="dxa" w:w="1814"/>
          </w:tcPr>
          <w:p>
            <w:pPr>
              <w:spacing w:before="60" w:after="60"/>
            </w:pPr>
            <w:r>
              <w:t>Vergelijkt het domein, de bankgegevens en de wijzigingshistorie met het record</w:t>
            </w:r>
          </w:p>
        </w:tc>
        <w:tc>
          <w:tcPr>
            <w:tcW w:type="dxa" w:w="1814"/>
          </w:tcPr>
          <w:p>
            <w:pPr>
              <w:spacing w:before="60" w:after="60"/>
            </w:pPr>
            <w:r>
              <w:t>Benoemt ook welk detail makkelijk over het hoofd te zien was</w:t>
            </w:r>
          </w:p>
        </w:tc>
        <w:tc>
          <w:tcPr>
            <w:tcW w:type="dxa" w:w="2154"/>
          </w:tcPr>
          <w:p>
            <w:pPr>
              <w:spacing w:before="60" w:after="60"/>
            </w:pPr>
            <w:r>
              <w:t>Domein en wijzigingshistorie vergeleken. Vergelijk volgende keer ook de bankgegevens in de brief met het record.</w:t>
            </w:r>
          </w:p>
        </w:tc>
      </w:tr>
      <w:tr>
        <w:trPr>
          <w:cantSplit w:val="true"/>
        </w:trPr>
        <w:tc>
          <w:tcPr>
            <w:tcW w:type="dxa" w:w="2041"/>
            <w:shd w:val="clear" w:color="auto" w:fill="F7F0FB"/>
          </w:tcPr>
          <w:p>
            <w:pPr>
              <w:spacing w:before="60" w:after="60"/>
            </w:pPr>
            <w:r>
              <w:rPr>
                <w:b/>
              </w:rPr>
              <w:t>De controlestap uit de procedure benoemd</w:t>
            </w:r>
          </w:p>
        </w:tc>
        <w:tc>
          <w:tcPr>
            <w:tcW w:type="dxa" w:w="1814"/>
            <w:shd w:val="clear" w:color="auto" w:fill="F7F0FB"/>
          </w:tcPr>
          <w:p>
            <w:pPr>
              <w:spacing w:before="60" w:after="60"/>
            </w:pPr>
            <w:r>
              <w:t>Geen telefoontje, of belt een nummer uit het verzoek</w:t>
            </w:r>
          </w:p>
        </w:tc>
        <w:tc>
          <w:tcPr>
            <w:tcW w:type="dxa" w:w="1814"/>
            <w:shd w:val="clear" w:color="auto" w:fill="F7F0FB"/>
          </w:tcPr>
          <w:p>
            <w:pPr>
              <w:spacing w:before="60" w:after="60"/>
            </w:pPr>
            <w:r>
              <w:t>Belt het nummer in het dossier en eist tweede goedkeuring</w:t>
            </w:r>
          </w:p>
        </w:tc>
        <w:tc>
          <w:tcPr>
            <w:tcW w:type="dxa" w:w="1814"/>
            <w:shd w:val="clear" w:color="auto" w:fill="F7F0FB"/>
          </w:tcPr>
          <w:p>
            <w:pPr>
              <w:spacing w:before="60" w:after="60"/>
            </w:pPr>
            <w:r>
              <w:t>Noemt het telefoontje en de goedkeuring van een tweede medewerker</w:t>
            </w:r>
          </w:p>
        </w:tc>
        <w:tc>
          <w:tcPr>
            <w:tcW w:type="dxa" w:w="2154"/>
            <w:shd w:val="clear" w:color="auto" w:fill="F7F0FB"/>
          </w:tcPr>
          <w:p>
            <w:pPr>
              <w:spacing w:before="60" w:after="60"/>
            </w:pPr>
            <w:r>
              <w:t>Beide stappen benoemd.</w:t>
            </w:r>
          </w:p>
        </w:tc>
      </w:tr>
      <w:tr>
        <w:trPr>
          <w:cantSplit w:val="true"/>
        </w:trPr>
        <w:tc>
          <w:tcPr>
            <w:tcW w:type="dxa" w:w="2041"/>
          </w:tcPr>
          <w:p>
            <w:pPr>
              <w:spacing w:before="60" w:after="60"/>
            </w:pPr>
            <w:r>
              <w:rPr>
                <w:b/>
              </w:rPr>
              <w:t>De vervolgactie voor de betaalrun vermeld</w:t>
            </w:r>
          </w:p>
        </w:tc>
        <w:tc>
          <w:tcPr>
            <w:tcW w:type="dxa" w:w="1814"/>
          </w:tcPr>
          <w:p>
            <w:pPr>
              <w:spacing w:before="60" w:after="60"/>
            </w:pPr>
            <w:r>
              <w:t>Laat de betaling ongewijzigd</w:t>
            </w:r>
          </w:p>
        </w:tc>
        <w:tc>
          <w:tcPr>
            <w:tcW w:type="dxa" w:w="1814"/>
          </w:tcPr>
          <w:p>
            <w:pPr>
              <w:spacing w:before="60" w:after="60"/>
            </w:pPr>
            <w:r>
              <w:t>Houdt de betaling vast tot de wijziging is geverifieerd</w:t>
            </w:r>
          </w:p>
        </w:tc>
        <w:tc>
          <w:tcPr>
            <w:tcW w:type="dxa" w:w="1814"/>
          </w:tcPr>
          <w:p>
            <w:pPr>
              <w:spacing w:before="60" w:after="60"/>
            </w:pPr>
            <w:r>
              <w:t>Zegt ook wie je moet informeren en wanneer</w:t>
            </w:r>
          </w:p>
        </w:tc>
        <w:tc>
          <w:tcPr>
            <w:tcW w:type="dxa" w:w="2154"/>
          </w:tcPr>
          <w:p>
            <w:pPr>
              <w:spacing w:before="60" w:after="60"/>
            </w:pPr>
            <w:r>
              <w:t>Betaling vastgehouden en de fiatteur geïnformeerd.</w:t>
            </w:r>
          </w:p>
        </w:tc>
      </w:tr>
    </w:tbl>
    <w:p>
      <w:pPr>
        <w:spacing w:before="160"/>
      </w:pPr>
      <w:r>
        <w:t>Deze beschrijvingen zijn aanleidingen voor schriftelijke feedback. Tel ze niet op tot een score: een beslissing die het record controleert maar de factuur toch betaalt, heeft de casus niet gehaald.</w:t>
      </w:r>
    </w:p>
    <w:p>
      <w:pPr>
        <w:keepNext/>
        <w:spacing w:before="240" w:after="80"/>
      </w:pPr>
      <w:r>
        <w:rPr>
          <w:b/>
          <w:color w:val="5D008F"/>
          <w:sz w:val="28"/>
        </w:rPr>
        <w:t>Uitgewerkt voorbeeld: mijn checklist voor het volgende verzoek</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4819"/>
            <w:shd w:val="clear" w:color="auto" w:fill="5D008F"/>
          </w:tcPr>
          <w:p>
            <w:pPr>
              <w:spacing w:before="60" w:after="60"/>
            </w:pPr>
            <w:r/>
            <w:r>
              <w:rPr>
                <w:b/>
                <w:color w:val="FFFFFF"/>
              </w:rPr>
              <w:t>Mijn controle</w:t>
            </w:r>
          </w:p>
        </w:tc>
        <w:tc>
          <w:tcPr>
            <w:tcW w:type="dxa" w:w="4819"/>
            <w:shd w:val="clear" w:color="auto" w:fill="5D008F"/>
          </w:tcPr>
          <w:p>
            <w:pPr>
              <w:spacing w:before="60" w:after="60"/>
            </w:pPr>
            <w:r/>
            <w:r>
              <w:rPr>
                <w:b/>
                <w:color w:val="FFFFFF"/>
              </w:rPr>
              <w:t>Waarom</w:t>
            </w:r>
          </w:p>
        </w:tc>
      </w:tr>
      <w:tr>
        <w:trPr>
          <w:cantSplit w:val="true"/>
        </w:trPr>
        <w:tc>
          <w:tcPr>
            <w:tcW w:type="dxa" w:w="4819"/>
          </w:tcPr>
          <w:p>
            <w:pPr>
              <w:spacing w:before="60" w:after="60"/>
            </w:pPr>
            <w:r>
              <w:rPr>
                <w:b/>
              </w:rPr>
              <w:t>Vergelijk het adres van de afzender letter voor letter met de contactpersoon in het leveranciersstamrecord</w:t>
            </w:r>
          </w:p>
        </w:tc>
        <w:tc>
          <w:tcPr>
            <w:tcW w:type="dxa" w:w="4819"/>
          </w:tcPr>
          <w:p>
            <w:pPr>
              <w:spacing w:before="60" w:after="60"/>
            </w:pPr>
            <w:r>
              <w:t>Een bijna identiek domein ziet er op het eerste gezicht goed uit</w:t>
            </w:r>
          </w:p>
        </w:tc>
      </w:tr>
      <w:tr>
        <w:trPr>
          <w:cantSplit w:val="true"/>
        </w:trPr>
        <w:tc>
          <w:tcPr>
            <w:tcW w:type="dxa" w:w="4819"/>
            <w:shd w:val="clear" w:color="auto" w:fill="F7F0FB"/>
          </w:tcPr>
          <w:p>
            <w:pPr>
              <w:spacing w:before="60" w:after="60"/>
            </w:pPr>
            <w:r>
              <w:rPr>
                <w:b/>
              </w:rPr>
              <w:t>Bekijk de wijzigingshistorie van deze leverancier</w:t>
            </w:r>
          </w:p>
        </w:tc>
        <w:tc>
          <w:tcPr>
            <w:tcW w:type="dxa" w:w="4819"/>
            <w:shd w:val="clear" w:color="auto" w:fill="F7F0FB"/>
          </w:tcPr>
          <w:p>
            <w:pPr>
              <w:spacing w:before="60" w:after="60"/>
            </w:pPr>
            <w:r>
              <w:t>Een eerste wijziging na jaren verdient een nadere blik</w:t>
            </w:r>
          </w:p>
        </w:tc>
      </w:tr>
      <w:tr>
        <w:trPr>
          <w:cantSplit w:val="true"/>
        </w:trPr>
        <w:tc>
          <w:tcPr>
            <w:tcW w:type="dxa" w:w="4819"/>
          </w:tcPr>
          <w:p>
            <w:pPr>
              <w:spacing w:before="60" w:after="60"/>
            </w:pPr>
            <w:r>
              <w:rPr>
                <w:b/>
              </w:rPr>
              <w:t>Bel het nummer dat al in het dossier staat, nooit een nummer uit het verzoek</w:t>
            </w:r>
          </w:p>
        </w:tc>
        <w:tc>
          <w:tcPr>
            <w:tcW w:type="dxa" w:w="4819"/>
          </w:tcPr>
          <w:p>
            <w:pPr>
              <w:spacing w:before="60" w:after="60"/>
            </w:pPr>
            <w:r>
              <w:t>Dat staat in de procedure, en het nummer in het verzoek kan van de fraudeur zijn</w:t>
            </w:r>
          </w:p>
        </w:tc>
      </w:tr>
      <w:tr>
        <w:trPr>
          <w:cantSplit w:val="true"/>
        </w:trPr>
        <w:tc>
          <w:tcPr>
            <w:tcW w:type="dxa" w:w="4819"/>
            <w:shd w:val="clear" w:color="auto" w:fill="F7F0FB"/>
          </w:tcPr>
          <w:p>
            <w:pPr>
              <w:spacing w:before="60" w:after="60"/>
            </w:pPr>
            <w:r>
              <w:rPr>
                <w:b/>
              </w:rPr>
              <w:t>Laat een tweede medewerker goedkeuring geven vóór de volgende betaling</w:t>
            </w:r>
          </w:p>
        </w:tc>
        <w:tc>
          <w:tcPr>
            <w:tcW w:type="dxa" w:w="4819"/>
            <w:shd w:val="clear" w:color="auto" w:fill="F7F0FB"/>
          </w:tcPr>
          <w:p>
            <w:pPr>
              <w:spacing w:before="60" w:after="60"/>
            </w:pPr>
            <w:r>
              <w:t>De procedure eist dat</w:t>
            </w:r>
          </w:p>
        </w:tc>
      </w:tr>
      <w:tr>
        <w:trPr>
          <w:cantSplit w:val="true"/>
        </w:trPr>
        <w:tc>
          <w:tcPr>
            <w:tcW w:type="dxa" w:w="4819"/>
          </w:tcPr>
          <w:p>
            <w:pPr>
              <w:spacing w:before="60" w:after="60"/>
            </w:pPr>
            <w:r>
              <w:rPr>
                <w:b/>
              </w:rPr>
              <w:t>Houd elke betaling vast die vervalt voordat de wijziging is geverifieerd</w:t>
            </w:r>
          </w:p>
        </w:tc>
        <w:tc>
          <w:tcPr>
            <w:tcW w:type="dxa" w:w="4819"/>
          </w:tcPr>
          <w:p>
            <w:pPr>
              <w:spacing w:before="60" w:after="60"/>
            </w:pPr>
            <w:r>
              <w:t>Vooraf betalen is lastig terug te draaien</w:t>
            </w:r>
          </w:p>
        </w:tc>
      </w:tr>
    </w:tbl>
    <w:p>
      <w:pPr>
        <w:keepNext/>
        <w:pageBreakBefore/>
        <w:spacing w:before="240" w:after="80"/>
      </w:pPr>
      <w:r>
        <w:rPr>
          <w:b/>
          <w:color w:val="5D008F"/>
          <w:sz w:val="28"/>
        </w:rPr>
        <w:t>Jouw casus: eerste en uiteindelijke antwoord</w:t>
      </w:r>
    </w:p>
    <w:p>
      <w:r>
        <w:t>Casus: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1984"/>
            <w:shd w:val="clear" w:color="auto" w:fill="5D008F"/>
          </w:tcPr>
          <w:p>
            <w:pPr>
              <w:spacing w:before="60" w:after="60"/>
            </w:pPr>
            <w:r/>
            <w:r>
              <w:rPr>
                <w:b/>
                <w:color w:val="FFFFFF"/>
              </w:rPr>
            </w:r>
          </w:p>
        </w:tc>
        <w:tc>
          <w:tcPr>
            <w:tcW w:type="dxa" w:w="7654"/>
            <w:shd w:val="clear" w:color="auto" w:fill="5D008F"/>
          </w:tcPr>
          <w:p>
            <w:pPr>
              <w:spacing w:before="60" w:after="60"/>
            </w:pPr>
            <w:r/>
            <w:r>
              <w:rPr>
                <w:b/>
                <w:color w:val="FFFFFF"/>
              </w:rPr>
              <w:t>Jouw antwoord</w:t>
            </w:r>
          </w:p>
        </w:tc>
      </w:tr>
      <w:tr>
        <w:trPr>
          <w:cantSplit w:val="true"/>
          <w:trHeight w:val="2154"/>
        </w:trPr>
        <w:tc>
          <w:tcPr>
            <w:tcW w:type="dxa" w:w="1984"/>
          </w:tcPr>
          <w:p>
            <w:pPr>
              <w:spacing w:before="60" w:after="60"/>
            </w:pPr>
            <w:r>
              <w:rPr>
                <w:b/>
              </w:rPr>
              <w:t>Eerste antwoord</w:t>
            </w:r>
          </w:p>
        </w:tc>
        <w:tc>
          <w:tcPr>
            <w:tcW w:type="dxa" w:w="7654"/>
          </w:tcPr>
          <w:p>
            <w:pPr>
              <w:spacing w:before="60" w:after="60"/>
            </w:pPr>
            <w:r/>
          </w:p>
        </w:tc>
      </w:tr>
      <w:tr>
        <w:trPr>
          <w:cantSplit w:val="true"/>
          <w:trHeight w:val="2154"/>
        </w:trPr>
        <w:tc>
          <w:tcPr>
            <w:tcW w:type="dxa" w:w="1984"/>
            <w:shd w:val="clear" w:color="auto" w:fill="F7F0FB"/>
          </w:tcPr>
          <w:p>
            <w:pPr>
              <w:spacing w:before="60" w:after="60"/>
            </w:pPr>
            <w:r>
              <w:rPr>
                <w:b/>
              </w:rPr>
              <w:t>Uiteindelijk antwoord</w:t>
            </w:r>
          </w:p>
        </w:tc>
        <w:tc>
          <w:tcPr>
            <w:tcW w:type="dxa" w:w="7654"/>
            <w:shd w:val="clear" w:color="auto" w:fill="F7F0FB"/>
          </w:tcPr>
          <w:p>
            <w:pPr>
              <w:spacing w:before="60" w:after="60"/>
            </w:pPr>
            <w:r/>
          </w:p>
        </w:tc>
      </w:tr>
      <w:tr>
        <w:trPr>
          <w:cantSplit w:val="true"/>
          <w:trHeight w:val="2154"/>
        </w:trPr>
        <w:tc>
          <w:tcPr>
            <w:tcW w:type="dxa" w:w="1984"/>
          </w:tcPr>
          <w:p>
            <w:pPr>
              <w:spacing w:before="60" w:after="60"/>
            </w:pPr>
            <w:r>
              <w:rPr>
                <w:b/>
              </w:rPr>
              <w:t>Wat er in mijn redenering is veranderd</w:t>
            </w:r>
          </w:p>
        </w:tc>
        <w:tc>
          <w:tcPr>
            <w:tcW w:type="dxa" w:w="7654"/>
          </w:tcPr>
          <w:p>
            <w:pPr>
              <w:spacing w:before="60" w:after="60"/>
            </w:pPr>
            <w:r/>
          </w:p>
        </w:tc>
      </w:tr>
    </w:tbl>
    <w:p>
      <w:pPr>
        <w:keepNext/>
        <w:pageBreakBefore/>
        <w:spacing w:before="240" w:after="80"/>
      </w:pPr>
      <w:r>
        <w:rPr>
          <w:b/>
          <w:color w:val="5D008F"/>
          <w:sz w:val="28"/>
        </w:rPr>
        <w:t>Jouw casus: de redenering van collega's vergelijken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2268"/>
            <w:shd w:val="clear" w:color="auto" w:fill="5D008F"/>
          </w:tcPr>
          <w:p>
            <w:pPr>
              <w:spacing w:before="60" w:after="60"/>
            </w:pPr>
            <w:r/>
            <w:r>
              <w:rPr>
                <w:b/>
                <w:color w:val="FFFFFF"/>
              </w:rPr>
              <w:t>Beslissing van de collega</w:t>
            </w:r>
          </w:p>
        </w:tc>
        <w:tc>
          <w:tcPr>
            <w:tcW w:type="dxa" w:w="3685"/>
            <w:shd w:val="clear" w:color="auto" w:fill="5D008F"/>
          </w:tcPr>
          <w:p>
            <w:pPr>
              <w:spacing w:before="60" w:after="60"/>
            </w:pPr>
            <w:r/>
            <w:r>
              <w:rPr>
                <w:b/>
                <w:color w:val="FFFFFF"/>
              </w:rPr>
              <w:t>Hun redenering</w:t>
            </w:r>
          </w:p>
        </w:tc>
        <w:tc>
          <w:tcPr>
            <w:tcW w:type="dxa" w:w="3685"/>
            <w:shd w:val="clear" w:color="auto" w:fill="5D008F"/>
          </w:tcPr>
          <w:p>
            <w:pPr>
              <w:spacing w:before="60" w:after="60"/>
            </w:pPr>
            <w:r/>
            <w:r>
              <w:rPr>
                <w:b/>
                <w:color w:val="FFFFFF"/>
              </w:rPr>
              <w:t>Ben ik het eens, en waarom?</w:t>
            </w:r>
          </w:p>
        </w:tc>
      </w:tr>
      <w:tr>
        <w:trPr>
          <w:cantSplit w:val="true"/>
          <w:trHeight w:val="1814"/>
        </w:trPr>
        <w:tc>
          <w:tcPr>
            <w:tcW w:type="dxa" w:w="2268"/>
          </w:tcPr>
          <w:p>
            <w:pPr>
              <w:spacing w:before="60" w:after="60"/>
            </w:pPr>
            <w:r>
              <w:rPr>
                <w:b/>
              </w:rPr>
            </w:r>
          </w:p>
        </w:tc>
        <w:tc>
          <w:tcPr>
            <w:tcW w:type="dxa" w:w="3685"/>
          </w:tcPr>
          <w:p>
            <w:pPr>
              <w:spacing w:before="60" w:after="60"/>
            </w:pPr>
            <w:r/>
          </w:p>
        </w:tc>
        <w:tc>
          <w:tcPr>
            <w:tcW w:type="dxa" w:w="3685"/>
          </w:tcPr>
          <w:p>
            <w:pPr>
              <w:spacing w:before="60" w:after="60"/>
            </w:pPr>
            <w:r/>
          </w:p>
        </w:tc>
      </w:tr>
      <w:tr>
        <w:trPr>
          <w:cantSplit w:val="true"/>
          <w:trHeight w:val="1814"/>
        </w:trPr>
        <w:tc>
          <w:tcPr>
            <w:tcW w:type="dxa" w:w="2268"/>
            <w:shd w:val="clear" w:color="auto" w:fill="F7F0FB"/>
          </w:tcPr>
          <w:p>
            <w:pPr>
              <w:spacing w:before="60" w:after="60"/>
            </w:pPr>
            <w:r>
              <w:rPr>
                <w:b/>
              </w:rPr>
            </w:r>
          </w:p>
        </w:tc>
        <w:tc>
          <w:tcPr>
            <w:tcW w:type="dxa" w:w="3685"/>
            <w:shd w:val="clear" w:color="auto" w:fill="F7F0FB"/>
          </w:tcPr>
          <w:p>
            <w:pPr>
              <w:spacing w:before="60" w:after="60"/>
            </w:pPr>
            <w:r/>
          </w:p>
        </w:tc>
        <w:tc>
          <w:tcPr>
            <w:tcW w:type="dxa" w:w="3685"/>
            <w:shd w:val="clear" w:color="auto" w:fill="F7F0FB"/>
          </w:tcPr>
          <w:p>
            <w:pPr>
              <w:spacing w:before="60" w:after="60"/>
            </w:pPr>
            <w:r/>
          </w:p>
        </w:tc>
      </w:tr>
    </w:tbl>
    <w:p>
      <w:pPr>
        <w:keepNext/>
        <w:spacing w:before="240" w:after="80"/>
      </w:pPr>
      <w:r>
        <w:rPr>
          <w:b/>
          <w:color w:val="5D008F"/>
          <w:sz w:val="28"/>
        </w:rPr>
        <w:t>Jouw casus: de uiteindelijke beslissing toetsen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2041"/>
            <w:shd w:val="clear" w:color="auto" w:fill="5D008F"/>
          </w:tcPr>
          <w:p>
            <w:pPr>
              <w:spacing w:before="60" w:after="60"/>
            </w:pPr>
            <w:r/>
            <w:r>
              <w:rPr>
                <w:b/>
                <w:color w:val="FFFFFF"/>
              </w:rPr>
              <w:t>Criterium</w:t>
            </w:r>
          </w:p>
        </w:tc>
        <w:tc>
          <w:tcPr>
            <w:tcW w:type="dxa" w:w="1814"/>
            <w:shd w:val="clear" w:color="auto" w:fill="5D008F"/>
          </w:tcPr>
          <w:p>
            <w:pPr>
              <w:spacing w:before="60" w:after="60"/>
            </w:pPr>
            <w:r/>
            <w:r>
              <w:rPr>
                <w:b/>
                <w:color w:val="FFFFFF"/>
              </w:rPr>
              <w:t>Nog niet</w:t>
            </w:r>
          </w:p>
        </w:tc>
        <w:tc>
          <w:tcPr>
            <w:tcW w:type="dxa" w:w="1814"/>
            <w:shd w:val="clear" w:color="auto" w:fill="5D008F"/>
          </w:tcPr>
          <w:p>
            <w:pPr>
              <w:spacing w:before="60" w:after="60"/>
            </w:pPr>
            <w:r/>
            <w:r>
              <w:rPr>
                <w:b/>
                <w:color w:val="FFFFFF"/>
              </w:rPr>
              <w:t>Voldoet</w:t>
            </w:r>
          </w:p>
        </w:tc>
        <w:tc>
          <w:tcPr>
            <w:tcW w:type="dxa" w:w="1814"/>
            <w:shd w:val="clear" w:color="auto" w:fill="5D008F"/>
          </w:tcPr>
          <w:p>
            <w:pPr>
              <w:spacing w:before="60" w:after="60"/>
            </w:pPr>
            <w:r/>
            <w:r>
              <w:rPr>
                <w:b/>
                <w:color w:val="FFFFFF"/>
              </w:rPr>
              <w:t>Gaat verder</w:t>
            </w:r>
          </w:p>
        </w:tc>
        <w:tc>
          <w:tcPr>
            <w:tcW w:type="dxa" w:w="2154"/>
            <w:shd w:val="clear" w:color="auto" w:fill="5D008F"/>
          </w:tcPr>
          <w:p>
            <w:pPr>
              <w:spacing w:before="60" w:after="60"/>
            </w:pPr>
            <w:r/>
            <w:r>
              <w:rPr>
                <w:b/>
                <w:color w:val="FFFFFF"/>
              </w:rPr>
              <w:t>Feedbacknotitie</w:t>
            </w:r>
          </w:p>
        </w:tc>
      </w:tr>
      <w:tr>
        <w:trPr>
          <w:cantSplit w:val="true"/>
          <w:trHeight w:val="1361"/>
        </w:trPr>
        <w:tc>
          <w:tcPr>
            <w:tcW w:type="dxa" w:w="2041"/>
          </w:tcPr>
          <w:p>
            <w:pPr>
              <w:spacing w:before="60" w:after="60"/>
            </w:pPr>
            <w:r>
              <w:rPr>
                <w:b/>
              </w:rPr>
            </w:r>
          </w:p>
        </w:tc>
        <w:tc>
          <w:tcPr>
            <w:tcW w:type="dxa" w:w="1814"/>
          </w:tcPr>
          <w:p>
            <w:pPr>
              <w:spacing w:before="60" w:after="60"/>
            </w:pPr>
            <w:r/>
          </w:p>
        </w:tc>
        <w:tc>
          <w:tcPr>
            <w:tcW w:type="dxa" w:w="1814"/>
          </w:tcPr>
          <w:p>
            <w:pPr>
              <w:spacing w:before="60" w:after="60"/>
            </w:pPr>
            <w:r/>
          </w:p>
        </w:tc>
        <w:tc>
          <w:tcPr>
            <w:tcW w:type="dxa" w:w="1814"/>
          </w:tcPr>
          <w:p>
            <w:pPr>
              <w:spacing w:before="60" w:after="60"/>
            </w:pPr>
            <w:r/>
          </w:p>
        </w:tc>
        <w:tc>
          <w:tcPr>
            <w:tcW w:type="dxa" w:w="2154"/>
          </w:tcPr>
          <w:p>
            <w:pPr>
              <w:spacing w:before="60" w:after="60"/>
            </w:pPr>
            <w:r/>
          </w:p>
        </w:tc>
      </w:tr>
      <w:tr>
        <w:trPr>
          <w:cantSplit w:val="true"/>
          <w:trHeight w:val="1361"/>
        </w:trPr>
        <w:tc>
          <w:tcPr>
            <w:tcW w:type="dxa" w:w="2041"/>
            <w:shd w:val="clear" w:color="auto" w:fill="F7F0FB"/>
          </w:tcPr>
          <w:p>
            <w:pPr>
              <w:spacing w:before="60" w:after="60"/>
            </w:pPr>
            <w:r>
              <w:rPr>
                <w:b/>
              </w:rPr>
            </w:r>
          </w:p>
        </w:tc>
        <w:tc>
          <w:tcPr>
            <w:tcW w:type="dxa" w:w="1814"/>
            <w:shd w:val="clear" w:color="auto" w:fill="F7F0FB"/>
          </w:tcPr>
          <w:p>
            <w:pPr>
              <w:spacing w:before="60" w:after="60"/>
            </w:pPr>
            <w:r/>
          </w:p>
        </w:tc>
        <w:tc>
          <w:tcPr>
            <w:tcW w:type="dxa" w:w="1814"/>
            <w:shd w:val="clear" w:color="auto" w:fill="F7F0FB"/>
          </w:tcPr>
          <w:p>
            <w:pPr>
              <w:spacing w:before="60" w:after="60"/>
            </w:pPr>
            <w:r/>
          </w:p>
        </w:tc>
        <w:tc>
          <w:tcPr>
            <w:tcW w:type="dxa" w:w="1814"/>
            <w:shd w:val="clear" w:color="auto" w:fill="F7F0FB"/>
          </w:tcPr>
          <w:p>
            <w:pPr>
              <w:spacing w:before="60" w:after="60"/>
            </w:pPr>
            <w:r/>
          </w:p>
        </w:tc>
        <w:tc>
          <w:tcPr>
            <w:tcW w:type="dxa" w:w="2154"/>
            <w:shd w:val="clear" w:color="auto" w:fill="F7F0FB"/>
          </w:tcPr>
          <w:p>
            <w:pPr>
              <w:spacing w:before="60" w:after="60"/>
            </w:pPr>
            <w:r/>
          </w:p>
        </w:tc>
      </w:tr>
      <w:tr>
        <w:trPr>
          <w:cantSplit w:val="true"/>
          <w:trHeight w:val="1361"/>
        </w:trPr>
        <w:tc>
          <w:tcPr>
            <w:tcW w:type="dxa" w:w="2041"/>
          </w:tcPr>
          <w:p>
            <w:pPr>
              <w:spacing w:before="60" w:after="60"/>
            </w:pPr>
            <w:r>
              <w:rPr>
                <w:b/>
              </w:rPr>
            </w:r>
          </w:p>
        </w:tc>
        <w:tc>
          <w:tcPr>
            <w:tcW w:type="dxa" w:w="1814"/>
          </w:tcPr>
          <w:p>
            <w:pPr>
              <w:spacing w:before="60" w:after="60"/>
            </w:pPr>
            <w:r/>
          </w:p>
        </w:tc>
        <w:tc>
          <w:tcPr>
            <w:tcW w:type="dxa" w:w="1814"/>
          </w:tcPr>
          <w:p>
            <w:pPr>
              <w:spacing w:before="60" w:after="60"/>
            </w:pPr>
            <w:r/>
          </w:p>
        </w:tc>
        <w:tc>
          <w:tcPr>
            <w:tcW w:type="dxa" w:w="1814"/>
          </w:tcPr>
          <w:p>
            <w:pPr>
              <w:spacing w:before="60" w:after="60"/>
            </w:pPr>
            <w:r/>
          </w:p>
        </w:tc>
        <w:tc>
          <w:tcPr>
            <w:tcW w:type="dxa" w:w="2154"/>
          </w:tcPr>
          <w:p>
            <w:pPr>
              <w:spacing w:before="60" w:after="60"/>
            </w:pPr>
            <w:r/>
          </w:p>
        </w:tc>
      </w:tr>
    </w:tbl>
    <w:p>
      <w:pPr>
        <w:keepNext/>
        <w:pageBreakBefore/>
        <w:spacing w:before="240" w:after="80"/>
      </w:pPr>
      <w:r>
        <w:rPr>
          <w:b/>
          <w:color w:val="5D008F"/>
          <w:sz w:val="28"/>
        </w:rPr>
        <w:t>Jouw checklist voor de volgende casus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4819"/>
            <w:shd w:val="clear" w:color="auto" w:fill="5D008F"/>
          </w:tcPr>
          <w:p>
            <w:pPr>
              <w:spacing w:before="60" w:after="60"/>
            </w:pPr>
            <w:r/>
            <w:r>
              <w:rPr>
                <w:b/>
                <w:color w:val="FFFFFF"/>
              </w:rPr>
              <w:t>Mijn controle</w:t>
            </w:r>
          </w:p>
        </w:tc>
        <w:tc>
          <w:tcPr>
            <w:tcW w:type="dxa" w:w="4819"/>
            <w:shd w:val="clear" w:color="auto" w:fill="5D008F"/>
          </w:tcPr>
          <w:p>
            <w:pPr>
              <w:spacing w:before="60" w:after="60"/>
            </w:pPr>
            <w:r/>
            <w:r>
              <w:rPr>
                <w:b/>
                <w:color w:val="FFFFFF"/>
              </w:rPr>
              <w:t>Waarom</w:t>
            </w:r>
          </w:p>
        </w:tc>
      </w:tr>
      <w:tr>
        <w:trPr>
          <w:cantSplit w:val="true"/>
          <w:trHeight w:val="964"/>
        </w:trPr>
        <w:tc>
          <w:tcPr>
            <w:tcW w:type="dxa" w:w="4819"/>
          </w:tcPr>
          <w:p>
            <w:pPr>
              <w:spacing w:before="60" w:after="60"/>
            </w:pPr>
            <w:r>
              <w:rPr>
                <w:b/>
              </w:rPr>
            </w:r>
          </w:p>
        </w:tc>
        <w:tc>
          <w:tcPr>
            <w:tcW w:type="dxa" w:w="4819"/>
          </w:tcPr>
          <w:p>
            <w:pPr>
              <w:spacing w:before="60" w:after="60"/>
            </w:pPr>
            <w:r/>
          </w:p>
        </w:tc>
      </w:tr>
      <w:tr>
        <w:trPr>
          <w:cantSplit w:val="true"/>
          <w:trHeight w:val="964"/>
        </w:trPr>
        <w:tc>
          <w:tcPr>
            <w:tcW w:type="dxa" w:w="4819"/>
            <w:shd w:val="clear" w:color="auto" w:fill="F7F0FB"/>
          </w:tcPr>
          <w:p>
            <w:pPr>
              <w:spacing w:before="60" w:after="60"/>
            </w:pPr>
            <w:r>
              <w:rPr>
                <w:b/>
              </w:rPr>
            </w:r>
          </w:p>
        </w:tc>
        <w:tc>
          <w:tcPr>
            <w:tcW w:type="dxa" w:w="4819"/>
            <w:shd w:val="clear" w:color="auto" w:fill="F7F0FB"/>
          </w:tcPr>
          <w:p>
            <w:pPr>
              <w:spacing w:before="60" w:after="60"/>
            </w:pPr>
            <w:r/>
          </w:p>
        </w:tc>
      </w:tr>
      <w:tr>
        <w:trPr>
          <w:cantSplit w:val="true"/>
          <w:trHeight w:val="964"/>
        </w:trPr>
        <w:tc>
          <w:tcPr>
            <w:tcW w:type="dxa" w:w="4819"/>
          </w:tcPr>
          <w:p>
            <w:pPr>
              <w:spacing w:before="60" w:after="60"/>
            </w:pPr>
            <w:r>
              <w:rPr>
                <w:b/>
              </w:rPr>
            </w:r>
          </w:p>
        </w:tc>
        <w:tc>
          <w:tcPr>
            <w:tcW w:type="dxa" w:w="4819"/>
          </w:tcPr>
          <w:p>
            <w:pPr>
              <w:spacing w:before="60" w:after="60"/>
            </w:pPr>
            <w:r/>
          </w:p>
        </w:tc>
      </w:tr>
      <w:tr>
        <w:trPr>
          <w:cantSplit w:val="true"/>
          <w:trHeight w:val="964"/>
        </w:trPr>
        <w:tc>
          <w:tcPr>
            <w:tcW w:type="dxa" w:w="4819"/>
            <w:shd w:val="clear" w:color="auto" w:fill="F7F0FB"/>
          </w:tcPr>
          <w:p>
            <w:pPr>
              <w:spacing w:before="60" w:after="60"/>
            </w:pPr>
            <w:r>
              <w:rPr>
                <w:b/>
              </w:rPr>
            </w:r>
          </w:p>
        </w:tc>
        <w:tc>
          <w:tcPr>
            <w:tcW w:type="dxa" w:w="4819"/>
            <w:shd w:val="clear" w:color="auto" w:fill="F7F0FB"/>
          </w:tcPr>
          <w:p>
            <w:pPr>
              <w:spacing w:before="60" w:after="60"/>
            </w:pPr>
            <w:r/>
          </w:p>
        </w:tc>
      </w:tr>
      <w:tr>
        <w:trPr>
          <w:cantSplit w:val="true"/>
          <w:trHeight w:val="964"/>
        </w:trPr>
        <w:tc>
          <w:tcPr>
            <w:tcW w:type="dxa" w:w="4819"/>
          </w:tcPr>
          <w:p>
            <w:pPr>
              <w:spacing w:before="60" w:after="60"/>
            </w:pPr>
            <w:r>
              <w:rPr>
                <w:b/>
              </w:rPr>
            </w:r>
          </w:p>
        </w:tc>
        <w:tc>
          <w:tcPr>
            <w:tcW w:type="dxa" w:w="4819"/>
          </w:tcPr>
          <w:p>
            <w:pPr>
              <w:spacing w:before="60" w:after="60"/>
            </w:pPr>
            <w:r/>
          </w:p>
        </w:tc>
      </w:tr>
      <w:tr>
        <w:trPr>
          <w:cantSplit w:val="true"/>
          <w:trHeight w:val="964"/>
        </w:trPr>
        <w:tc>
          <w:tcPr>
            <w:tcW w:type="dxa" w:w="4819"/>
            <w:shd w:val="clear" w:color="auto" w:fill="F7F0FB"/>
          </w:tcPr>
          <w:p>
            <w:pPr>
              <w:spacing w:before="60" w:after="60"/>
            </w:pPr>
            <w:r>
              <w:rPr>
                <w:b/>
              </w:rPr>
            </w:r>
          </w:p>
        </w:tc>
        <w:tc>
          <w:tcPr>
            <w:tcW w:type="dxa" w:w="4819"/>
            <w:shd w:val="clear" w:color="auto" w:fill="F7F0FB"/>
          </w:tcPr>
          <w:p>
            <w:pPr>
              <w:spacing w:before="60" w:after="60"/>
            </w:pPr>
            <w:r/>
          </w:p>
        </w:tc>
      </w:tr>
    </w:tbl>
    <w:p>
      <w:pPr>
        <w:spacing w:before="160"/>
      </w:pPr>
      <w:r>
        <w:rPr>
          <w:i/>
          <w:color w:val="5A5766"/>
        </w:rPr>
        <w:t>Eigen bewerking van Coursebox van de verwoordings- en reflectiemethoden beschreven in Collins, A., Brown, J. S. en Holum, A. (1991) Cognitive apprenticeship: Making thinking visible. American Educator, 15(3). De criteriabeschrijvingen zijn planningshulpen, geen gevalideerde rubric, en dit blad geeft geen score. Controleer op het werk of de checklist wordt gebruikt.</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gratis sjabloon  |  pagina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