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5D008F"/>
          <w:sz w:val="40"/>
        </w:rPr>
        <w:t>Newcomer Access Audit</w:t>
      </w:r>
    </w:p>
    <w:p>
      <w:r>
        <w:rPr>
          <w:color w:val="5A5766"/>
          <w:sz w:val="22"/>
        </w:rPr>
        <w:t>A short audit for managers and designers before you build onboarding: can newcomers reach the real work, the people who do it and the records they use? It uses Jean Lave and Etienne Wenger's idea of legitimate peripheral participation (Situated Learning, 1991) as a lens. Lave and Wenger describe it as a way of understanding learning, not a teaching technique, so the questions here are our adaptation, not their method. It gives no score. Review each access gap separately. A hypothetical building site is filled in as an example.</w:t>
      </w:r>
    </w:p>
    <w:p>
      <w:r>
        <w:rPr>
          <w:i/>
          <w:color w:val="5A5766"/>
          <w:sz w:val="18"/>
        </w:rPr>
        <w:t>From the Coursebox blog: coursebox.ai/blog/situated-learning-theory</w:t>
      </w:r>
    </w:p>
    <w:p>
      <w:pPr>
        <w:keepNext/>
        <w:spacing w:before="240" w:after="80"/>
      </w:pPr>
      <w:r>
        <w:rPr>
          <w:b/>
          <w:color w:val="5D008F"/>
          <w:sz w:val="28"/>
        </w:rPr>
        <w:t>How to use this audit</w:t>
      </w:r>
    </w:p>
    <w:p>
      <w:pPr>
        <w:pStyle w:val="ListBullet"/>
      </w:pPr>
      <w:r>
        <w:t>Choose one role you onboard and one place the newcomer works, such as one site, ward, desk or team.</w:t>
      </w:r>
    </w:p>
    <w:p>
      <w:pPr>
        <w:pStyle w:val="ListBullet"/>
      </w:pPr>
      <w:r>
        <w:t>Answer each question from what actually happens in the first weeks, not from the onboarding plan. Ask two or three recent starters as well as their managers.</w:t>
      </w:r>
    </w:p>
    <w:p>
      <w:pPr>
        <w:pStyle w:val="ListBullet"/>
      </w:pPr>
      <w:r>
        <w:t>Write down the evidence for each answer: a task, a person, a record or a week.</w:t>
      </w:r>
    </w:p>
    <w:p>
      <w:pPr>
        <w:pStyle w:val="ListBullet"/>
      </w:pPr>
      <w:r>
        <w:t>Mark any answer that keeps a newcomer busy but away from the work. Those are the first things to change, before you build or buy a course.</w:t>
      </w:r>
    </w:p>
    <w:p>
      <w:pPr>
        <w:pStyle w:val="ListBullet"/>
      </w:pPr>
      <w:r>
        <w:t>Use the action plan at the end to name one change, who owns it and when you will check it with the next newcomer.</w:t>
      </w:r>
    </w:p>
    <w:p>
      <w:pPr>
        <w:keepNext/>
        <w:pageBreakBefore/>
        <w:spacing w:before="240" w:after="80"/>
      </w:pPr>
      <w:r>
        <w:rPr>
          <w:b/>
          <w:color w:val="5D008F"/>
          <w:sz w:val="28"/>
        </w:rPr>
        <w:t>The audit questions</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1587"/>
            <w:shd w:val="clear" w:color="auto" w:fill="5D008F"/>
          </w:tcPr>
          <w:p>
            <w:pPr>
              <w:spacing w:before="60" w:after="60"/>
            </w:pPr>
            <w:r/>
            <w:r>
              <w:rPr>
                <w:b/>
                <w:color w:val="FFFFFF"/>
              </w:rPr>
              <w:t>Area</w:t>
            </w:r>
          </w:p>
        </w:tc>
        <w:tc>
          <w:tcPr>
            <w:tcW w:type="dxa" w:w="4195"/>
            <w:shd w:val="clear" w:color="auto" w:fill="5D008F"/>
          </w:tcPr>
          <w:p>
            <w:pPr>
              <w:spacing w:before="60" w:after="60"/>
            </w:pPr>
            <w:r/>
            <w:r>
              <w:rPr>
                <w:b/>
                <w:color w:val="FFFFFF"/>
              </w:rPr>
              <w:t>Question</w:t>
            </w:r>
          </w:p>
        </w:tc>
        <w:tc>
          <w:tcPr>
            <w:tcW w:type="dxa" w:w="3855"/>
            <w:shd w:val="clear" w:color="auto" w:fill="5D008F"/>
          </w:tcPr>
          <w:p>
            <w:pPr>
              <w:spacing w:before="60" w:after="60"/>
            </w:pPr>
            <w:r/>
            <w:r>
              <w:rPr>
                <w:b/>
                <w:color w:val="FFFFFF"/>
              </w:rPr>
              <w:t>Why it helps</w:t>
            </w:r>
          </w:p>
        </w:tc>
      </w:tr>
      <w:tr>
        <w:trPr>
          <w:cantSplit w:val="true"/>
        </w:trPr>
        <w:tc>
          <w:tcPr>
            <w:tcW w:type="dxa" w:w="1587"/>
          </w:tcPr>
          <w:p>
            <w:pPr>
              <w:spacing w:before="60" w:after="60"/>
            </w:pPr>
            <w:r>
              <w:rPr>
                <w:b/>
              </w:rPr>
              <w:t>Real first tasks</w:t>
            </w:r>
          </w:p>
        </w:tc>
        <w:tc>
          <w:tcPr>
            <w:tcW w:type="dxa" w:w="4195"/>
          </w:tcPr>
          <w:p>
            <w:pPr>
              <w:spacing w:before="60" w:after="60"/>
            </w:pPr>
            <w:r>
              <w:t>Which tasks in weeks 1 and 2 are part of the actual work, short and simple, with small costs of error?</w:t>
            </w:r>
          </w:p>
        </w:tc>
        <w:tc>
          <w:tcPr>
            <w:tcW w:type="dxa" w:w="3855"/>
          </w:tcPr>
          <w:p>
            <w:pPr>
              <w:spacing w:before="60" w:after="60"/>
            </w:pPr>
            <w:r>
              <w:t>Lave and Wenger describe a newcomer's tasks as short and simple with small costs of error (1991, p. 110)</w:t>
            </w:r>
          </w:p>
        </w:tc>
      </w:tr>
      <w:tr>
        <w:trPr>
          <w:cantSplit w:val="true"/>
        </w:trPr>
        <w:tc>
          <w:tcPr>
            <w:tcW w:type="dxa" w:w="1587"/>
            <w:shd w:val="clear" w:color="auto" w:fill="F7F0FB"/>
          </w:tcPr>
          <w:p>
            <w:pPr>
              <w:spacing w:before="60" w:after="60"/>
            </w:pPr>
            <w:r>
              <w:rPr>
                <w:b/>
              </w:rPr>
              <w:t>Away from the work</w:t>
            </w:r>
          </w:p>
        </w:tc>
        <w:tc>
          <w:tcPr>
            <w:tcW w:type="dxa" w:w="4195"/>
            <w:shd w:val="clear" w:color="auto" w:fill="F7F0FB"/>
          </w:tcPr>
          <w:p>
            <w:pPr>
              <w:spacing w:before="60" w:after="60"/>
            </w:pPr>
            <w:r>
              <w:t>Which early jobs keep newcomers useful but unable to see the work they were hired to learn?</w:t>
            </w:r>
          </w:p>
        </w:tc>
        <w:tc>
          <w:tcPr>
            <w:tcW w:type="dxa" w:w="3855"/>
            <w:shd w:val="clear" w:color="auto" w:fill="F7F0FB"/>
          </w:tcPr>
          <w:p>
            <w:pPr>
              <w:spacing w:before="60" w:after="60"/>
            </w:pPr>
            <w:r>
              <w:t>In some stores, meat-cutter apprentices on the wrapping machine could not watch the cutting (pp. 78 to 79)</w:t>
            </w:r>
          </w:p>
        </w:tc>
      </w:tr>
      <w:tr>
        <w:trPr>
          <w:cantSplit w:val="true"/>
        </w:trPr>
        <w:tc>
          <w:tcPr>
            <w:tcW w:type="dxa" w:w="1587"/>
          </w:tcPr>
          <w:p>
            <w:pPr>
              <w:spacing w:before="60" w:after="60"/>
            </w:pPr>
            <w:r>
              <w:rPr>
                <w:b/>
              </w:rPr>
              <w:t>People</w:t>
            </w:r>
          </w:p>
        </w:tc>
        <w:tc>
          <w:tcPr>
            <w:tcW w:type="dxa" w:w="4195"/>
          </w:tcPr>
          <w:p>
            <w:pPr>
              <w:spacing w:before="60" w:after="60"/>
            </w:pPr>
            <w:r>
              <w:t>Who is named to give each newcomer access, and is their time for it planned?</w:t>
            </w:r>
          </w:p>
        </w:tc>
        <w:tc>
          <w:tcPr>
            <w:tcW w:type="dxa" w:w="3855"/>
          </w:tcPr>
          <w:p>
            <w:pPr>
              <w:spacing w:before="60" w:after="60"/>
            </w:pPr>
            <w:r>
              <w:t>Access to old-timers is part of what membership requires (pp. 100 to 101)</w:t>
            </w:r>
          </w:p>
        </w:tc>
      </w:tr>
      <w:tr>
        <w:trPr>
          <w:cantSplit w:val="true"/>
        </w:trPr>
        <w:tc>
          <w:tcPr>
            <w:tcW w:type="dxa" w:w="1587"/>
            <w:shd w:val="clear" w:color="auto" w:fill="F7F0FB"/>
          </w:tcPr>
          <w:p>
            <w:pPr>
              <w:spacing w:before="60" w:after="60"/>
            </w:pPr>
            <w:r>
              <w:rPr>
                <w:b/>
              </w:rPr>
              <w:t>The work itself</w:t>
            </w:r>
          </w:p>
        </w:tc>
        <w:tc>
          <w:tcPr>
            <w:tcW w:type="dxa" w:w="4195"/>
            <w:shd w:val="clear" w:color="auto" w:fill="F7F0FB"/>
          </w:tcPr>
          <w:p>
            <w:pPr>
              <w:spacing w:before="60" w:after="60"/>
            </w:pPr>
            <w:r>
              <w:t>Can newcomers watch and join the real activity, such as meetings, walks, calls or inspections?</w:t>
            </w:r>
          </w:p>
        </w:tc>
        <w:tc>
          <w:tcPr>
            <w:tcW w:type="dxa" w:w="3855"/>
            <w:shd w:val="clear" w:color="auto" w:fill="F7F0FB"/>
          </w:tcPr>
          <w:p>
            <w:pPr>
              <w:spacing w:before="60" w:after="60"/>
            </w:pPr>
            <w:r>
              <w:t>Newcomers need access to ongoing activity, not only lessons about it (Wenger 1998, p. 100)</w:t>
            </w:r>
          </w:p>
        </w:tc>
      </w:tr>
      <w:tr>
        <w:trPr>
          <w:cantSplit w:val="true"/>
        </w:trPr>
        <w:tc>
          <w:tcPr>
            <w:tcW w:type="dxa" w:w="1587"/>
          </w:tcPr>
          <w:p>
            <w:pPr>
              <w:spacing w:before="60" w:after="60"/>
            </w:pPr>
            <w:r>
              <w:rPr>
                <w:b/>
              </w:rPr>
              <w:t>Tools and records</w:t>
            </w:r>
          </w:p>
        </w:tc>
        <w:tc>
          <w:tcPr>
            <w:tcW w:type="dxa" w:w="4195"/>
          </w:tcPr>
          <w:p>
            <w:pPr>
              <w:spacing w:before="60" w:after="60"/>
            </w:pPr>
            <w:r>
              <w:t>Are newcomers shown how the tools and records work and why each one exists?</w:t>
            </w:r>
          </w:p>
        </w:tc>
        <w:tc>
          <w:tcPr>
            <w:tcW w:type="dxa" w:w="3855"/>
          </w:tcPr>
          <w:p>
            <w:pPr>
              <w:spacing w:before="60" w:after="60"/>
            </w:pPr>
            <w:r>
              <w:t>Transparency: the black box can become a glass box (1991, p. 102)</w:t>
            </w:r>
          </w:p>
        </w:tc>
      </w:tr>
      <w:tr>
        <w:trPr>
          <w:cantSplit w:val="true"/>
        </w:trPr>
        <w:tc>
          <w:tcPr>
            <w:tcW w:type="dxa" w:w="1587"/>
            <w:shd w:val="clear" w:color="auto" w:fill="F7F0FB"/>
          </w:tcPr>
          <w:p>
            <w:pPr>
              <w:spacing w:before="60" w:after="60"/>
            </w:pPr>
            <w:r>
              <w:rPr>
                <w:b/>
              </w:rPr>
              <w:t>Order of access</w:t>
            </w:r>
          </w:p>
        </w:tc>
        <w:tc>
          <w:tcPr>
            <w:tcW w:type="dxa" w:w="4195"/>
            <w:shd w:val="clear" w:color="auto" w:fill="F7F0FB"/>
          </w:tcPr>
          <w:p>
            <w:pPr>
              <w:spacing w:before="60" w:after="60"/>
            </w:pPr>
            <w:r>
              <w:t>Is there a written order for taking on more of the work, with a check before each step?</w:t>
            </w:r>
          </w:p>
        </w:tc>
        <w:tc>
          <w:tcPr>
            <w:tcW w:type="dxa" w:w="3855"/>
            <w:shd w:val="clear" w:color="auto" w:fill="F7F0FB"/>
          </w:tcPr>
          <w:p>
            <w:pPr>
              <w:spacing w:before="60" w:after="60"/>
            </w:pPr>
            <w:r>
              <w:t>In the Python study the route was largely implicit and most newcomers remained peripheral; their reasons are not established (Ducheneaut 2005)</w:t>
            </w:r>
          </w:p>
        </w:tc>
      </w:tr>
      <w:tr>
        <w:trPr>
          <w:cantSplit w:val="true"/>
        </w:trPr>
        <w:tc>
          <w:tcPr>
            <w:tcW w:type="dxa" w:w="1587"/>
          </w:tcPr>
          <w:p>
            <w:pPr>
              <w:spacing w:before="60" w:after="60"/>
            </w:pPr>
            <w:r>
              <w:rPr>
                <w:b/>
              </w:rPr>
              <w:t>Learner status</w:t>
            </w:r>
          </w:p>
        </w:tc>
        <w:tc>
          <w:tcPr>
            <w:tcW w:type="dxa" w:w="4195"/>
          </w:tcPr>
          <w:p>
            <w:pPr>
              <w:spacing w:before="60" w:after="60"/>
            </w:pPr>
            <w:r>
              <w:t>Is the newcomer still treated as a learner once they are useful, or only as extra labour?</w:t>
            </w:r>
          </w:p>
        </w:tc>
        <w:tc>
          <w:tcPr>
            <w:tcW w:type="dxa" w:w="3855"/>
          </w:tcPr>
          <w:p>
            <w:pPr>
              <w:spacing w:before="60" w:after="60"/>
            </w:pPr>
            <w:r>
              <w:t>Lave and Wenger name a conflict between the master's need for labour and the apprentice's learning (p. 115)</w:t>
            </w:r>
          </w:p>
        </w:tc>
      </w:tr>
      <w:tr>
        <w:trPr>
          <w:cantSplit w:val="true"/>
        </w:trPr>
        <w:tc>
          <w:tcPr>
            <w:tcW w:type="dxa" w:w="1587"/>
            <w:shd w:val="clear" w:color="auto" w:fill="F7F0FB"/>
          </w:tcPr>
          <w:p>
            <w:pPr>
              <w:spacing w:before="60" w:after="60"/>
            </w:pPr>
            <w:r>
              <w:rPr>
                <w:b/>
              </w:rPr>
              <w:t>Checking</w:t>
            </w:r>
          </w:p>
        </w:tc>
        <w:tc>
          <w:tcPr>
            <w:tcW w:type="dxa" w:w="4195"/>
            <w:shd w:val="clear" w:color="auto" w:fill="F7F0FB"/>
          </w:tcPr>
          <w:p>
            <w:pPr>
              <w:spacing w:before="60" w:after="60"/>
            </w:pPr>
            <w:r>
              <w:t>Is the newcomer's progress checked in the real work as well as on a quiz?</w:t>
            </w:r>
          </w:p>
        </w:tc>
        <w:tc>
          <w:tcPr>
            <w:tcW w:type="dxa" w:w="3855"/>
            <w:shd w:val="clear" w:color="auto" w:fill="F7F0FB"/>
          </w:tcPr>
          <w:p>
            <w:pPr>
              <w:spacing w:before="60" w:after="60"/>
            </w:pPr>
            <w:r>
              <w:t>The same shoppers did far better in the supermarket than on school-style tests (Lave 1988, p. 56)</w:t>
            </w:r>
          </w:p>
        </w:tc>
      </w:tr>
    </w:tbl>
    <w:p>
      <w:pPr>
        <w:keepNext/>
        <w:pageBreakBefore/>
        <w:spacing w:before="240" w:after="80"/>
      </w:pPr>
      <w:r>
        <w:rPr>
          <w:b/>
          <w:color w:val="5D008F"/>
          <w:sz w:val="28"/>
        </w:rPr>
        <w:t>Worked example: graduate site engineers</w:t>
      </w:r>
    </w:p>
    <w:p>
      <w:r>
        <w:t>Hypothetical example. A building company audits how graduate site engineers spend their first 12 weeks on one apartment site at the level 3 slab, working towards the pre-pour slab inspection with a senior site engineer as buddy.</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1587"/>
            <w:shd w:val="clear" w:color="auto" w:fill="5D008F"/>
          </w:tcPr>
          <w:p>
            <w:pPr>
              <w:spacing w:before="60" w:after="60"/>
            </w:pPr>
            <w:r/>
            <w:r>
              <w:rPr>
                <w:b/>
                <w:color w:val="FFFFFF"/>
              </w:rPr>
              <w:t>Area</w:t>
            </w:r>
          </w:p>
        </w:tc>
        <w:tc>
          <w:tcPr>
            <w:tcW w:type="dxa" w:w="4195"/>
            <w:shd w:val="clear" w:color="auto" w:fill="5D008F"/>
          </w:tcPr>
          <w:p>
            <w:pPr>
              <w:spacing w:before="60" w:after="60"/>
            </w:pPr>
            <w:r/>
            <w:r>
              <w:rPr>
                <w:b/>
                <w:color w:val="FFFFFF"/>
              </w:rPr>
              <w:t>What happens now (evidence)</w:t>
            </w:r>
          </w:p>
        </w:tc>
        <w:tc>
          <w:tcPr>
            <w:tcW w:type="dxa" w:w="3855"/>
            <w:shd w:val="clear" w:color="auto" w:fill="5D008F"/>
          </w:tcPr>
          <w:p>
            <w:pPr>
              <w:spacing w:before="60" w:after="60"/>
            </w:pPr>
            <w:r/>
            <w:r>
              <w:rPr>
                <w:b/>
                <w:color w:val="FFFFFF"/>
              </w:rPr>
              <w:t>Change to make</w:t>
            </w:r>
          </w:p>
        </w:tc>
      </w:tr>
      <w:tr>
        <w:trPr>
          <w:cantSplit w:val="true"/>
        </w:trPr>
        <w:tc>
          <w:tcPr>
            <w:tcW w:type="dxa" w:w="1587"/>
          </w:tcPr>
          <w:p>
            <w:pPr>
              <w:spacing w:before="60" w:after="60"/>
            </w:pPr>
            <w:r>
              <w:rPr>
                <w:b/>
              </w:rPr>
              <w:t>Real first tasks</w:t>
            </w:r>
          </w:p>
        </w:tc>
        <w:tc>
          <w:tcPr>
            <w:tcW w:type="dxa" w:w="4195"/>
          </w:tcPr>
          <w:p>
            <w:pPr>
              <w:spacing w:before="60" w:after="60"/>
            </w:pPr>
            <w:r>
              <w:t>Weeks 1 to 5 are mostly filing dockets and updating registers in the site office</w:t>
            </w:r>
          </w:p>
        </w:tc>
        <w:tc>
          <w:tcPr>
            <w:tcW w:type="dxa" w:w="3855"/>
          </w:tcPr>
          <w:p>
            <w:pPr>
              <w:spacing w:before="60" w:after="60"/>
            </w:pPr>
            <w:r>
              <w:t>Weeks 1 and 2: daily site walk, pre-start meeting, logging dockets against the order, reinforcement photos, diary entry</w:t>
            </w:r>
          </w:p>
        </w:tc>
      </w:tr>
      <w:tr>
        <w:trPr>
          <w:cantSplit w:val="true"/>
        </w:trPr>
        <w:tc>
          <w:tcPr>
            <w:tcW w:type="dxa" w:w="1587"/>
            <w:shd w:val="clear" w:color="auto" w:fill="F7F0FB"/>
          </w:tcPr>
          <w:p>
            <w:pPr>
              <w:spacing w:before="60" w:after="60"/>
            </w:pPr>
            <w:r>
              <w:rPr>
                <w:b/>
              </w:rPr>
              <w:t>Away from the work</w:t>
            </w:r>
          </w:p>
        </w:tc>
        <w:tc>
          <w:tcPr>
            <w:tcW w:type="dxa" w:w="4195"/>
            <w:shd w:val="clear" w:color="auto" w:fill="F7F0FB"/>
          </w:tcPr>
          <w:p>
            <w:pPr>
              <w:spacing w:before="60" w:after="60"/>
            </w:pPr>
            <w:r>
              <w:t>Graduates rarely go onto the slab before their first inspection</w:t>
            </w:r>
          </w:p>
        </w:tc>
        <w:tc>
          <w:tcPr>
            <w:tcW w:type="dxa" w:w="3855"/>
            <w:shd w:val="clear" w:color="auto" w:fill="F7F0FB"/>
          </w:tcPr>
          <w:p>
            <w:pPr>
              <w:spacing w:before="60" w:after="60"/>
            </w:pPr>
            <w:r>
              <w:t>Office filing limited to an hour a day; the rest is on the slab with the buddy</w:t>
            </w:r>
          </w:p>
        </w:tc>
      </w:tr>
      <w:tr>
        <w:trPr>
          <w:cantSplit w:val="true"/>
        </w:trPr>
        <w:tc>
          <w:tcPr>
            <w:tcW w:type="dxa" w:w="1587"/>
          </w:tcPr>
          <w:p>
            <w:pPr>
              <w:spacing w:before="60" w:after="60"/>
            </w:pPr>
            <w:r>
              <w:rPr>
                <w:b/>
              </w:rPr>
              <w:t>People</w:t>
            </w:r>
          </w:p>
        </w:tc>
        <w:tc>
          <w:tcPr>
            <w:tcW w:type="dxa" w:w="4195"/>
          </w:tcPr>
          <w:p>
            <w:pPr>
              <w:spacing w:before="60" w:after="60"/>
            </w:pPr>
            <w:r>
              <w:t>No named buddy; whoever is free answers questions</w:t>
            </w:r>
          </w:p>
        </w:tc>
        <w:tc>
          <w:tcPr>
            <w:tcW w:type="dxa" w:w="3855"/>
          </w:tcPr>
          <w:p>
            <w:pPr>
              <w:spacing w:before="60" w:after="60"/>
            </w:pPr>
            <w:r>
              <w:t>Senior site engineer named as buddy, with 15 minutes a week for a check-in and time for the daily walk</w:t>
            </w:r>
          </w:p>
        </w:tc>
      </w:tr>
      <w:tr>
        <w:trPr>
          <w:cantSplit w:val="true"/>
        </w:trPr>
        <w:tc>
          <w:tcPr>
            <w:tcW w:type="dxa" w:w="1587"/>
            <w:shd w:val="clear" w:color="auto" w:fill="F7F0FB"/>
          </w:tcPr>
          <w:p>
            <w:pPr>
              <w:spacing w:before="60" w:after="60"/>
            </w:pPr>
            <w:r>
              <w:rPr>
                <w:b/>
              </w:rPr>
              <w:t>The work itself</w:t>
            </w:r>
          </w:p>
        </w:tc>
        <w:tc>
          <w:tcPr>
            <w:tcW w:type="dxa" w:w="4195"/>
            <w:shd w:val="clear" w:color="auto" w:fill="F7F0FB"/>
          </w:tcPr>
          <w:p>
            <w:pPr>
              <w:spacing w:before="60" w:after="60"/>
            </w:pPr>
            <w:r>
              <w:t>Graduates are not invited to the pre-pour walks</w:t>
            </w:r>
          </w:p>
        </w:tc>
        <w:tc>
          <w:tcPr>
            <w:tcW w:type="dxa" w:w="3855"/>
            <w:shd w:val="clear" w:color="auto" w:fill="F7F0FB"/>
          </w:tcPr>
          <w:p>
            <w:pPr>
              <w:spacing w:before="60" w:after="60"/>
            </w:pPr>
            <w:r>
              <w:t>Graduates join every pre-pour walk from week 3</w:t>
            </w:r>
          </w:p>
        </w:tc>
      </w:tr>
      <w:tr>
        <w:trPr>
          <w:cantSplit w:val="true"/>
        </w:trPr>
        <w:tc>
          <w:tcPr>
            <w:tcW w:type="dxa" w:w="1587"/>
          </w:tcPr>
          <w:p>
            <w:pPr>
              <w:spacing w:before="60" w:after="60"/>
            </w:pPr>
            <w:r>
              <w:rPr>
                <w:b/>
              </w:rPr>
              <w:t>Tools and records</w:t>
            </w:r>
          </w:p>
        </w:tc>
        <w:tc>
          <w:tcPr>
            <w:tcW w:type="dxa" w:w="4195"/>
          </w:tcPr>
          <w:p>
            <w:pPr>
              <w:spacing w:before="60" w:after="60"/>
            </w:pPr>
            <w:r>
              <w:t>ITPs are filed but nobody explains the hold point</w:t>
            </w:r>
          </w:p>
        </w:tc>
        <w:tc>
          <w:tcPr>
            <w:tcW w:type="dxa" w:w="3855"/>
          </w:tcPr>
          <w:p>
            <w:pPr>
              <w:spacing w:before="60" w:after="60"/>
            </w:pPr>
            <w:r>
              <w:t>Buddy walks the level 3 ITP against the drawing and explains who releases the hold point and why</w:t>
            </w:r>
          </w:p>
        </w:tc>
      </w:tr>
      <w:tr>
        <w:trPr>
          <w:cantSplit w:val="true"/>
        </w:trPr>
        <w:tc>
          <w:tcPr>
            <w:tcW w:type="dxa" w:w="1587"/>
            <w:shd w:val="clear" w:color="auto" w:fill="F7F0FB"/>
          </w:tcPr>
          <w:p>
            <w:pPr>
              <w:spacing w:before="60" w:after="60"/>
            </w:pPr>
            <w:r>
              <w:rPr>
                <w:b/>
              </w:rPr>
              <w:t>Order of access</w:t>
            </w:r>
          </w:p>
        </w:tc>
        <w:tc>
          <w:tcPr>
            <w:tcW w:type="dxa" w:w="4195"/>
            <w:shd w:val="clear" w:color="auto" w:fill="F7F0FB"/>
          </w:tcPr>
          <w:p>
            <w:pPr>
              <w:spacing w:before="60" w:after="60"/>
            </w:pPr>
            <w:r>
              <w:t>No written order; one graduate was asked to lead an inspection in week 5</w:t>
            </w:r>
          </w:p>
        </w:tc>
        <w:tc>
          <w:tcPr>
            <w:tcW w:type="dxa" w:w="3855"/>
            <w:shd w:val="clear" w:color="auto" w:fill="F7F0FB"/>
          </w:tcPr>
          <w:p>
            <w:pPr>
              <w:spacing w:before="60" w:after="60"/>
            </w:pPr>
            <w:r>
              <w:t>Three stages: watch and record, check alongside, lead with review</w:t>
            </w:r>
          </w:p>
        </w:tc>
      </w:tr>
      <w:tr>
        <w:trPr>
          <w:cantSplit w:val="true"/>
        </w:trPr>
        <w:tc>
          <w:tcPr>
            <w:tcW w:type="dxa" w:w="1587"/>
          </w:tcPr>
          <w:p>
            <w:pPr>
              <w:spacing w:before="60" w:after="60"/>
            </w:pPr>
            <w:r>
              <w:rPr>
                <w:b/>
              </w:rPr>
              <w:t>Learner status</w:t>
            </w:r>
          </w:p>
        </w:tc>
        <w:tc>
          <w:tcPr>
            <w:tcW w:type="dxa" w:w="4195"/>
          </w:tcPr>
          <w:p>
            <w:pPr>
              <w:spacing w:before="60" w:after="60"/>
            </w:pPr>
            <w:r>
              <w:t>Graduates are used as cover for admin when the office is busy</w:t>
            </w:r>
          </w:p>
        </w:tc>
        <w:tc>
          <w:tcPr>
            <w:tcW w:type="dxa" w:w="3855"/>
          </w:tcPr>
          <w:p>
            <w:pPr>
              <w:spacing w:before="60" w:after="60"/>
            </w:pPr>
            <w:r>
              <w:t>Admin cover capped and agreed with the site manager</w:t>
            </w:r>
          </w:p>
        </w:tc>
      </w:tr>
      <w:tr>
        <w:trPr>
          <w:cantSplit w:val="true"/>
        </w:trPr>
        <w:tc>
          <w:tcPr>
            <w:tcW w:type="dxa" w:w="1587"/>
            <w:shd w:val="clear" w:color="auto" w:fill="F7F0FB"/>
          </w:tcPr>
          <w:p>
            <w:pPr>
              <w:spacing w:before="60" w:after="60"/>
            </w:pPr>
            <w:r>
              <w:rPr>
                <w:b/>
              </w:rPr>
              <w:t>Checking</w:t>
            </w:r>
          </w:p>
        </w:tc>
        <w:tc>
          <w:tcPr>
            <w:tcW w:type="dxa" w:w="4195"/>
            <w:shd w:val="clear" w:color="auto" w:fill="F7F0FB"/>
          </w:tcPr>
          <w:p>
            <w:pPr>
              <w:spacing w:before="60" w:after="60"/>
            </w:pPr>
            <w:r>
              <w:t>Only the quality-system quiz is recorded</w:t>
            </w:r>
          </w:p>
        </w:tc>
        <w:tc>
          <w:tcPr>
            <w:tcW w:type="dxa" w:w="3855"/>
            <w:shd w:val="clear" w:color="auto" w:fill="F7F0FB"/>
          </w:tcPr>
          <w:p>
            <w:pPr>
              <w:spacing w:before="60" w:after="60"/>
            </w:pPr>
            <w:r>
              <w:t>Buddy signs ITP checklists and reviews the led inspection with an observation checklist</w:t>
            </w:r>
          </w:p>
        </w:tc>
      </w:tr>
    </w:tbl>
    <w:p>
      <w:pPr>
        <w:keepNext/>
        <w:pageBreakBefore/>
        <w:spacing w:before="240" w:after="80"/>
      </w:pPr>
      <w:r>
        <w:rPr>
          <w:b/>
          <w:color w:val="5D008F"/>
          <w:sz w:val="28"/>
        </w:rPr>
        <w:t>Your audit</w:t>
      </w:r>
    </w:p>
    <w:p>
      <w:r>
        <w:t>Role and place:                                        Date:</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1587"/>
            <w:shd w:val="clear" w:color="auto" w:fill="5D008F"/>
          </w:tcPr>
          <w:p>
            <w:pPr>
              <w:spacing w:before="60" w:after="60"/>
            </w:pPr>
            <w:r/>
            <w:r>
              <w:rPr>
                <w:b/>
                <w:color w:val="FFFFFF"/>
              </w:rPr>
              <w:t>Area</w:t>
            </w:r>
          </w:p>
        </w:tc>
        <w:tc>
          <w:tcPr>
            <w:tcW w:type="dxa" w:w="4195"/>
            <w:shd w:val="clear" w:color="auto" w:fill="5D008F"/>
          </w:tcPr>
          <w:p>
            <w:pPr>
              <w:spacing w:before="60" w:after="60"/>
            </w:pPr>
            <w:r/>
            <w:r>
              <w:rPr>
                <w:b/>
                <w:color w:val="FFFFFF"/>
              </w:rPr>
              <w:t>What happens now (evidence)</w:t>
            </w:r>
          </w:p>
        </w:tc>
        <w:tc>
          <w:tcPr>
            <w:tcW w:type="dxa" w:w="3855"/>
            <w:shd w:val="clear" w:color="auto" w:fill="5D008F"/>
          </w:tcPr>
          <w:p>
            <w:pPr>
              <w:spacing w:before="60" w:after="60"/>
            </w:pPr>
            <w:r/>
            <w:r>
              <w:rPr>
                <w:b/>
                <w:color w:val="FFFFFF"/>
              </w:rPr>
              <w:t>Change to make</w:t>
            </w:r>
          </w:p>
        </w:tc>
      </w:tr>
      <w:tr>
        <w:trPr>
          <w:cantSplit w:val="true"/>
          <w:trHeight w:val="1361"/>
        </w:trPr>
        <w:tc>
          <w:tcPr>
            <w:tcW w:type="dxa" w:w="1587"/>
          </w:tcPr>
          <w:p>
            <w:pPr>
              <w:spacing w:before="60" w:after="60"/>
            </w:pPr>
            <w:r>
              <w:rPr>
                <w:b/>
              </w:rPr>
              <w:t>Real first tasks</w:t>
            </w:r>
          </w:p>
        </w:tc>
        <w:tc>
          <w:tcPr>
            <w:tcW w:type="dxa" w:w="4195"/>
          </w:tcPr>
          <w:p>
            <w:pPr>
              <w:spacing w:before="60" w:after="60"/>
            </w:pPr>
            <w:r/>
          </w:p>
        </w:tc>
        <w:tc>
          <w:tcPr>
            <w:tcW w:type="dxa" w:w="3855"/>
          </w:tcPr>
          <w:p>
            <w:pPr>
              <w:spacing w:before="60" w:after="60"/>
            </w:pPr>
            <w:r/>
          </w:p>
        </w:tc>
      </w:tr>
      <w:tr>
        <w:trPr>
          <w:cantSplit w:val="true"/>
          <w:trHeight w:val="1361"/>
        </w:trPr>
        <w:tc>
          <w:tcPr>
            <w:tcW w:type="dxa" w:w="1587"/>
            <w:shd w:val="clear" w:color="auto" w:fill="F7F0FB"/>
          </w:tcPr>
          <w:p>
            <w:pPr>
              <w:spacing w:before="60" w:after="60"/>
            </w:pPr>
            <w:r>
              <w:rPr>
                <w:b/>
              </w:rPr>
              <w:t>Away from the work</w:t>
            </w:r>
          </w:p>
        </w:tc>
        <w:tc>
          <w:tcPr>
            <w:tcW w:type="dxa" w:w="4195"/>
            <w:shd w:val="clear" w:color="auto" w:fill="F7F0FB"/>
          </w:tcPr>
          <w:p>
            <w:pPr>
              <w:spacing w:before="60" w:after="60"/>
            </w:pPr>
            <w:r/>
          </w:p>
        </w:tc>
        <w:tc>
          <w:tcPr>
            <w:tcW w:type="dxa" w:w="3855"/>
            <w:shd w:val="clear" w:color="auto" w:fill="F7F0FB"/>
          </w:tcPr>
          <w:p>
            <w:pPr>
              <w:spacing w:before="60" w:after="60"/>
            </w:pPr>
            <w:r/>
          </w:p>
        </w:tc>
      </w:tr>
      <w:tr>
        <w:trPr>
          <w:cantSplit w:val="true"/>
          <w:trHeight w:val="1361"/>
        </w:trPr>
        <w:tc>
          <w:tcPr>
            <w:tcW w:type="dxa" w:w="1587"/>
          </w:tcPr>
          <w:p>
            <w:pPr>
              <w:spacing w:before="60" w:after="60"/>
            </w:pPr>
            <w:r>
              <w:rPr>
                <w:b/>
              </w:rPr>
              <w:t>People</w:t>
            </w:r>
          </w:p>
        </w:tc>
        <w:tc>
          <w:tcPr>
            <w:tcW w:type="dxa" w:w="4195"/>
          </w:tcPr>
          <w:p>
            <w:pPr>
              <w:spacing w:before="60" w:after="60"/>
            </w:pPr>
            <w:r/>
          </w:p>
        </w:tc>
        <w:tc>
          <w:tcPr>
            <w:tcW w:type="dxa" w:w="3855"/>
          </w:tcPr>
          <w:p>
            <w:pPr>
              <w:spacing w:before="60" w:after="60"/>
            </w:pPr>
            <w:r/>
          </w:p>
        </w:tc>
      </w:tr>
      <w:tr>
        <w:trPr>
          <w:cantSplit w:val="true"/>
          <w:trHeight w:val="1361"/>
        </w:trPr>
        <w:tc>
          <w:tcPr>
            <w:tcW w:type="dxa" w:w="1587"/>
            <w:shd w:val="clear" w:color="auto" w:fill="F7F0FB"/>
          </w:tcPr>
          <w:p>
            <w:pPr>
              <w:spacing w:before="60" w:after="60"/>
            </w:pPr>
            <w:r>
              <w:rPr>
                <w:b/>
              </w:rPr>
              <w:t>The work itself</w:t>
            </w:r>
          </w:p>
        </w:tc>
        <w:tc>
          <w:tcPr>
            <w:tcW w:type="dxa" w:w="4195"/>
            <w:shd w:val="clear" w:color="auto" w:fill="F7F0FB"/>
          </w:tcPr>
          <w:p>
            <w:pPr>
              <w:spacing w:before="60" w:after="60"/>
            </w:pPr>
            <w:r/>
          </w:p>
        </w:tc>
        <w:tc>
          <w:tcPr>
            <w:tcW w:type="dxa" w:w="3855"/>
            <w:shd w:val="clear" w:color="auto" w:fill="F7F0FB"/>
          </w:tcPr>
          <w:p>
            <w:pPr>
              <w:spacing w:before="60" w:after="60"/>
            </w:pPr>
            <w:r/>
          </w:p>
        </w:tc>
      </w:tr>
      <w:tr>
        <w:trPr>
          <w:cantSplit w:val="true"/>
          <w:trHeight w:val="1361"/>
        </w:trPr>
        <w:tc>
          <w:tcPr>
            <w:tcW w:type="dxa" w:w="1587"/>
          </w:tcPr>
          <w:p>
            <w:pPr>
              <w:spacing w:before="60" w:after="60"/>
            </w:pPr>
            <w:r>
              <w:rPr>
                <w:b/>
              </w:rPr>
              <w:t>Tools and records</w:t>
            </w:r>
          </w:p>
        </w:tc>
        <w:tc>
          <w:tcPr>
            <w:tcW w:type="dxa" w:w="4195"/>
          </w:tcPr>
          <w:p>
            <w:pPr>
              <w:spacing w:before="60" w:after="60"/>
            </w:pPr>
            <w:r/>
          </w:p>
        </w:tc>
        <w:tc>
          <w:tcPr>
            <w:tcW w:type="dxa" w:w="3855"/>
          </w:tcPr>
          <w:p>
            <w:pPr>
              <w:spacing w:before="60" w:after="60"/>
            </w:pPr>
            <w:r/>
          </w:p>
        </w:tc>
      </w:tr>
      <w:tr>
        <w:trPr>
          <w:cantSplit w:val="true"/>
          <w:trHeight w:val="1361"/>
        </w:trPr>
        <w:tc>
          <w:tcPr>
            <w:tcW w:type="dxa" w:w="1587"/>
            <w:shd w:val="clear" w:color="auto" w:fill="F7F0FB"/>
          </w:tcPr>
          <w:p>
            <w:pPr>
              <w:spacing w:before="60" w:after="60"/>
            </w:pPr>
            <w:r>
              <w:rPr>
                <w:b/>
              </w:rPr>
              <w:t>Order of access</w:t>
            </w:r>
          </w:p>
        </w:tc>
        <w:tc>
          <w:tcPr>
            <w:tcW w:type="dxa" w:w="4195"/>
            <w:shd w:val="clear" w:color="auto" w:fill="F7F0FB"/>
          </w:tcPr>
          <w:p>
            <w:pPr>
              <w:spacing w:before="60" w:after="60"/>
            </w:pPr>
            <w:r/>
          </w:p>
        </w:tc>
        <w:tc>
          <w:tcPr>
            <w:tcW w:type="dxa" w:w="3855"/>
            <w:shd w:val="clear" w:color="auto" w:fill="F7F0FB"/>
          </w:tcPr>
          <w:p>
            <w:pPr>
              <w:spacing w:before="60" w:after="60"/>
            </w:pPr>
            <w:r/>
          </w:p>
        </w:tc>
      </w:tr>
      <w:tr>
        <w:trPr>
          <w:cantSplit w:val="true"/>
          <w:trHeight w:val="1361"/>
        </w:trPr>
        <w:tc>
          <w:tcPr>
            <w:tcW w:type="dxa" w:w="1587"/>
          </w:tcPr>
          <w:p>
            <w:pPr>
              <w:spacing w:before="60" w:after="60"/>
            </w:pPr>
            <w:r>
              <w:rPr>
                <w:b/>
              </w:rPr>
              <w:t>Learner status</w:t>
            </w:r>
          </w:p>
        </w:tc>
        <w:tc>
          <w:tcPr>
            <w:tcW w:type="dxa" w:w="4195"/>
          </w:tcPr>
          <w:p>
            <w:pPr>
              <w:spacing w:before="60" w:after="60"/>
            </w:pPr>
            <w:r/>
          </w:p>
        </w:tc>
        <w:tc>
          <w:tcPr>
            <w:tcW w:type="dxa" w:w="3855"/>
          </w:tcPr>
          <w:p>
            <w:pPr>
              <w:spacing w:before="60" w:after="60"/>
            </w:pPr>
            <w:r/>
          </w:p>
        </w:tc>
      </w:tr>
      <w:tr>
        <w:trPr>
          <w:cantSplit w:val="true"/>
          <w:trHeight w:val="1361"/>
        </w:trPr>
        <w:tc>
          <w:tcPr>
            <w:tcW w:type="dxa" w:w="1587"/>
            <w:shd w:val="clear" w:color="auto" w:fill="F7F0FB"/>
          </w:tcPr>
          <w:p>
            <w:pPr>
              <w:spacing w:before="60" w:after="60"/>
            </w:pPr>
            <w:r>
              <w:rPr>
                <w:b/>
              </w:rPr>
              <w:t>Checking</w:t>
            </w:r>
          </w:p>
        </w:tc>
        <w:tc>
          <w:tcPr>
            <w:tcW w:type="dxa" w:w="4195"/>
            <w:shd w:val="clear" w:color="auto" w:fill="F7F0FB"/>
          </w:tcPr>
          <w:p>
            <w:pPr>
              <w:spacing w:before="60" w:after="60"/>
            </w:pPr>
            <w:r/>
          </w:p>
        </w:tc>
        <w:tc>
          <w:tcPr>
            <w:tcW w:type="dxa" w:w="3855"/>
            <w:shd w:val="clear" w:color="auto" w:fill="F7F0FB"/>
          </w:tcPr>
          <w:p>
            <w:pPr>
              <w:spacing w:before="60" w:after="60"/>
            </w:pPr>
            <w:r/>
          </w:p>
        </w:tc>
      </w:tr>
    </w:tbl>
    <w:p>
      <w:pPr>
        <w:keepNext/>
        <w:pageBreakBefore/>
        <w:spacing w:before="240" w:after="80"/>
      </w:pPr>
      <w:r>
        <w:rPr>
          <w:b/>
          <w:color w:val="5D008F"/>
          <w:sz w:val="28"/>
        </w:rPr>
        <w:t>Action plan</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493"/>
        <w:gridCol w:w="2493"/>
        <w:gridCol w:w="2493"/>
        <w:gridCol w:w="2493"/>
      </w:tblGrid>
      <w:tr>
        <w:trPr>
          <w:tblHeader w:val="true"/>
          <w:cantSplit w:val="true"/>
        </w:trPr>
        <w:tc>
          <w:tcPr>
            <w:tcW w:type="dxa" w:w="3402"/>
            <w:shd w:val="clear" w:color="auto" w:fill="5D008F"/>
          </w:tcPr>
          <w:p>
            <w:pPr>
              <w:spacing w:before="60" w:after="60"/>
            </w:pPr>
            <w:r/>
            <w:r>
              <w:rPr>
                <w:b/>
                <w:color w:val="FFFFFF"/>
              </w:rPr>
              <w:t>Change</w:t>
            </w:r>
          </w:p>
        </w:tc>
        <w:tc>
          <w:tcPr>
            <w:tcW w:type="dxa" w:w="1814"/>
            <w:shd w:val="clear" w:color="auto" w:fill="5D008F"/>
          </w:tcPr>
          <w:p>
            <w:pPr>
              <w:spacing w:before="60" w:after="60"/>
            </w:pPr>
            <w:r/>
            <w:r>
              <w:rPr>
                <w:b/>
                <w:color w:val="FFFFFF"/>
              </w:rPr>
              <w:t>Who owns it</w:t>
            </w:r>
          </w:p>
        </w:tc>
        <w:tc>
          <w:tcPr>
            <w:tcW w:type="dxa" w:w="1361"/>
            <w:shd w:val="clear" w:color="auto" w:fill="5D008F"/>
          </w:tcPr>
          <w:p>
            <w:pPr>
              <w:spacing w:before="60" w:after="60"/>
            </w:pPr>
            <w:r/>
            <w:r>
              <w:rPr>
                <w:b/>
                <w:color w:val="FFFFFF"/>
              </w:rPr>
              <w:t>By when</w:t>
            </w:r>
          </w:p>
        </w:tc>
        <w:tc>
          <w:tcPr>
            <w:tcW w:type="dxa" w:w="3061"/>
            <w:shd w:val="clear" w:color="auto" w:fill="5D008F"/>
          </w:tcPr>
          <w:p>
            <w:pPr>
              <w:spacing w:before="60" w:after="60"/>
            </w:pPr>
            <w:r/>
            <w:r>
              <w:rPr>
                <w:b/>
                <w:color w:val="FFFFFF"/>
              </w:rPr>
              <w:t>How we will check it with the next newcomer</w:t>
            </w:r>
          </w:p>
        </w:tc>
      </w:tr>
      <w:tr>
        <w:trPr>
          <w:cantSplit w:val="true"/>
          <w:trHeight w:val="1247"/>
        </w:trPr>
        <w:tc>
          <w:tcPr>
            <w:tcW w:type="dxa" w:w="3402"/>
          </w:tcPr>
          <w:p>
            <w:pPr>
              <w:spacing w:before="60" w:after="60"/>
            </w:pPr>
            <w:r>
              <w:rPr>
                <w:b/>
              </w:rPr>
            </w:r>
          </w:p>
        </w:tc>
        <w:tc>
          <w:tcPr>
            <w:tcW w:type="dxa" w:w="1814"/>
          </w:tcPr>
          <w:p>
            <w:pPr>
              <w:spacing w:before="60" w:after="60"/>
            </w:pPr>
            <w:r/>
          </w:p>
        </w:tc>
        <w:tc>
          <w:tcPr>
            <w:tcW w:type="dxa" w:w="1361"/>
          </w:tcPr>
          <w:p>
            <w:pPr>
              <w:spacing w:before="60" w:after="60"/>
            </w:pPr>
            <w:r/>
          </w:p>
        </w:tc>
        <w:tc>
          <w:tcPr>
            <w:tcW w:type="dxa" w:w="3061"/>
          </w:tcPr>
          <w:p>
            <w:pPr>
              <w:spacing w:before="60" w:after="60"/>
            </w:pPr>
            <w:r/>
          </w:p>
        </w:tc>
      </w:tr>
      <w:tr>
        <w:trPr>
          <w:cantSplit w:val="true"/>
          <w:trHeight w:val="1247"/>
        </w:trPr>
        <w:tc>
          <w:tcPr>
            <w:tcW w:type="dxa" w:w="3402"/>
            <w:shd w:val="clear" w:color="auto" w:fill="F7F0FB"/>
          </w:tcPr>
          <w:p>
            <w:pPr>
              <w:spacing w:before="60" w:after="60"/>
            </w:pPr>
            <w:r>
              <w:rPr>
                <w:b/>
              </w:rPr>
            </w:r>
          </w:p>
        </w:tc>
        <w:tc>
          <w:tcPr>
            <w:tcW w:type="dxa" w:w="1814"/>
            <w:shd w:val="clear" w:color="auto" w:fill="F7F0FB"/>
          </w:tcPr>
          <w:p>
            <w:pPr>
              <w:spacing w:before="60" w:after="60"/>
            </w:pPr>
            <w:r/>
          </w:p>
        </w:tc>
        <w:tc>
          <w:tcPr>
            <w:tcW w:type="dxa" w:w="1361"/>
            <w:shd w:val="clear" w:color="auto" w:fill="F7F0FB"/>
          </w:tcPr>
          <w:p>
            <w:pPr>
              <w:spacing w:before="60" w:after="60"/>
            </w:pPr>
            <w:r/>
          </w:p>
        </w:tc>
        <w:tc>
          <w:tcPr>
            <w:tcW w:type="dxa" w:w="3061"/>
            <w:shd w:val="clear" w:color="auto" w:fill="F7F0FB"/>
          </w:tcPr>
          <w:p>
            <w:pPr>
              <w:spacing w:before="60" w:after="60"/>
            </w:pPr>
            <w:r/>
          </w:p>
        </w:tc>
      </w:tr>
      <w:tr>
        <w:trPr>
          <w:cantSplit w:val="true"/>
          <w:trHeight w:val="1247"/>
        </w:trPr>
        <w:tc>
          <w:tcPr>
            <w:tcW w:type="dxa" w:w="3402"/>
          </w:tcPr>
          <w:p>
            <w:pPr>
              <w:spacing w:before="60" w:after="60"/>
            </w:pPr>
            <w:r>
              <w:rPr>
                <w:b/>
              </w:rPr>
            </w:r>
          </w:p>
        </w:tc>
        <w:tc>
          <w:tcPr>
            <w:tcW w:type="dxa" w:w="1814"/>
          </w:tcPr>
          <w:p>
            <w:pPr>
              <w:spacing w:before="60" w:after="60"/>
            </w:pPr>
            <w:r/>
          </w:p>
        </w:tc>
        <w:tc>
          <w:tcPr>
            <w:tcW w:type="dxa" w:w="1361"/>
          </w:tcPr>
          <w:p>
            <w:pPr>
              <w:spacing w:before="60" w:after="60"/>
            </w:pPr>
            <w:r/>
          </w:p>
        </w:tc>
        <w:tc>
          <w:tcPr>
            <w:tcW w:type="dxa" w:w="3061"/>
          </w:tcPr>
          <w:p>
            <w:pPr>
              <w:spacing w:before="60" w:after="60"/>
            </w:pPr>
            <w:r/>
          </w:p>
        </w:tc>
      </w:tr>
    </w:tbl>
    <w:p>
      <w:pPr>
        <w:spacing w:before="160"/>
      </w:pPr>
      <w:r>
        <w:t>A course can set out the route, prompt the conversations and give newcomers a place to record real tasks. It cannot give them access to the work. Fix access first, then brief the course to point to it.</w:t>
      </w:r>
    </w:p>
    <w:p>
      <w:pPr>
        <w:spacing w:before="160"/>
      </w:pPr>
      <w:r>
        <w:rPr>
          <w:i/>
          <w:color w:val="5A5766"/>
        </w:rPr>
        <w:t>Drawing on Lave, J. and Wenger, E. (1991) Situated Learning: Legitimate Peripheral Participation; Wenger, E. (1998) Communities of Practice; Lave, J. (1988) Cognition in Practice; Ducheneaut, N. (2005) Computer Supported Cooperative Work 14. The questions and example are Coursebox's own. This audit gives no score and does not certify that onboarding works.</w:t>
      </w:r>
    </w:p>
    <w:sectPr w:rsidR="00FC693F" w:rsidRPr="0006063C" w:rsidSect="00034616">
      <w:headerReference w:type="default" r:id="rId9"/>
      <w:footerReference w:type="default" r:id="rId10"/>
      <w:pgSz w:w="12240" w:h="15840"/>
      <w:pgMar w:top="907" w:right="1134" w:bottom="907"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5766"/>
        <w:sz w:val="16"/>
      </w:rPr>
      <w:t xml:space="preserve">coursebox.ai  |  free template  |  page </w:t>
    </w:r>
    <w:r>
      <w:rPr>
        <w:color w:val="5A5766"/>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16000" cy="216000"/>
          <wp:docPr id="1" name="Picture 1"/>
          <wp:cNvGraphicFramePr>
            <a:graphicFrameLocks noChangeAspect="1"/>
          </wp:cNvGraphicFramePr>
          <a:graphic>
            <a:graphicData uri="http://schemas.openxmlformats.org/drawingml/2006/picture">
              <pic:pic>
                <pic:nvPicPr>
                  <pic:cNvPr id="0" name="coursebox-logomark.png"/>
                  <pic:cNvPicPr/>
                </pic:nvPicPr>
                <pic:blipFill>
                  <a:blip r:embed="rId1"/>
                  <a:stretch>
                    <a:fillRect/>
                  </a:stretch>
                </pic:blipFill>
                <pic:spPr>
                  <a:xfrm>
                    <a:off x="0" y="0"/>
                    <a:ext cx="216000" cy="216000"/>
                  </a:xfrm>
                  <a:prstGeom prst="rect"/>
                </pic:spPr>
              </pic:pic>
            </a:graphicData>
          </a:graphic>
        </wp:inline>
      </w:drawing>
    </w:r>
    <w:r>
      <w:rPr>
        <w:b/>
        <w:color w:val="5D008F"/>
        <w:sz w:val="22"/>
      </w:rPr>
      <w:t xml:space="preserve">  Coursebox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A16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