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5D008F"/>
          <w:sz w:val="40"/>
        </w:rPr>
        <w:t>After-the-Job Review and Mentor Coaching Guide</w:t>
      </w:r>
    </w:p>
    <w:p>
      <w:r>
        <w:rPr>
          <w:color w:val="5A5766"/>
          <w:sz w:val="22"/>
        </w:rPr>
        <w:t>For a job that surprised you: a technician's write-up after the job, a 20-minute coaching review for the mentor and one team question about the measures behind repeated workarounds. Adapted by Coursebox from Donald Schön's descriptions of reflection-in-action and reflection on action (1983, 1995) and of coaching in a reflective practicum (1987). Schön gave no steps; these prompts are our adaptation. A conversation aid, not a validated instrument: it gives no score. A hypothetical rooftop call-out is filled in as an example.</w:t>
      </w:r>
    </w:p>
    <w:p>
      <w:r>
        <w:rPr>
          <w:i/>
          <w:color w:val="5A5766"/>
          <w:sz w:val="18"/>
        </w:rPr>
        <w:t>From the Coursebox blog: coursebox.ai/blog/schon-reflective-model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How to use this guide</w:t>
      </w:r>
    </w:p>
    <w:p>
      <w:pPr>
        <w:pStyle w:val="ListBullet"/>
      </w:pPr>
      <w:r>
        <w:t>Use it after a job where the routine stopped working: a fault that did not match the flowchart, a client who did not fit the script, a plan that changed on site. Use it where review can improve practice; a routine job can also reveal a useful learning need.</w:t>
      </w:r>
    </w:p>
    <w:p>
      <w:pPr>
        <w:pStyle w:val="ListBullet"/>
      </w:pPr>
      <w:r>
        <w:t>On the job, write one line at the moment of surprise (what happened and when). That note is the raw material for everything below.</w:t>
      </w:r>
    </w:p>
    <w:p>
      <w:pPr>
        <w:pStyle w:val="ListBullet"/>
      </w:pPr>
      <w:r>
        <w:t>Within a few days, the technician writes Part 1. The mentor reads it before the review.</w:t>
      </w:r>
    </w:p>
    <w:p>
      <w:pPr>
        <w:pStyle w:val="ListBullet"/>
      </w:pPr>
      <w:r>
        <w:t>The mentor runs Part 2 as coaching: ask before telling, and agree one thing to try next time. It is not a grading conversation.</w:t>
      </w:r>
    </w:p>
    <w:p>
      <w:pPr>
        <w:pStyle w:val="ListBullet"/>
      </w:pPr>
      <w:r>
        <w:t>When reviews keep finding the same workaround, take Part 3 to the team and to whoever owns the rule, target or measure.</w:t>
      </w:r>
    </w:p>
    <w:p>
      <w:pPr>
        <w:pStyle w:val="ListBullet"/>
      </w:pPr>
      <w:r>
        <w:t>Safety comes first throughout: no live electrical work outside your licence and the site permit, and escalate when a test needs it. Escalating is a good outcome, not a failure.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On the job: four questions for the moment of surprise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3969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Question</w:t>
            </w:r>
          </w:p>
        </w:tc>
        <w:tc>
          <w:tcPr>
            <w:tcW w:type="dxa" w:w="5669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Why it helps</w:t>
            </w:r>
          </w:p>
        </w:tc>
      </w:tr>
      <w:tr>
        <w:trPr>
          <w:cantSplit w:val="true"/>
        </w:trPr>
        <w:tc>
          <w:tcPr>
            <w:tcW w:type="dxa" w:w="3969"/>
          </w:tcPr>
          <w:p>
            <w:pPr>
              <w:spacing w:before="60" w:after="60"/>
            </w:pPr>
            <w:r>
              <w:rPr>
                <w:b/>
              </w:rPr>
              <w:t>What surprised me?</w:t>
            </w:r>
          </w:p>
        </w:tc>
        <w:tc>
          <w:tcPr>
            <w:tcW w:type="dxa" w:w="5669"/>
          </w:tcPr>
          <w:p>
            <w:pPr>
              <w:spacing w:before="60" w:after="60"/>
            </w:pPr>
            <w:r>
              <w:t>Names the point where the routine stopped working, so you stop repeating it.</w:t>
            </w:r>
          </w:p>
        </w:tc>
      </w:tr>
      <w:tr>
        <w:trPr>
          <w:cantSplit w:val="true"/>
        </w:trPr>
        <w:tc>
          <w:tcPr>
            <w:tcW w:type="dxa" w:w="3969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What do I now think is going on?</w:t>
            </w:r>
          </w:p>
        </w:tc>
        <w:tc>
          <w:tcPr>
            <w:tcW w:type="dxa" w:w="5669"/>
            <w:shd w:val="clear" w:color="auto" w:fill="F7F0FB"/>
          </w:tcPr>
          <w:p>
            <w:pPr>
              <w:spacing w:before="60" w:after="60"/>
            </w:pPr>
            <w:r>
              <w:t>Puts a new explanation into words so it can be tested.</w:t>
            </w:r>
          </w:p>
        </w:tc>
      </w:tr>
      <w:tr>
        <w:trPr>
          <w:cantSplit w:val="true"/>
        </w:trPr>
        <w:tc>
          <w:tcPr>
            <w:tcW w:type="dxa" w:w="3969"/>
          </w:tcPr>
          <w:p>
            <w:pPr>
              <w:spacing w:before="60" w:after="60"/>
            </w:pPr>
            <w:r>
              <w:rPr>
                <w:b/>
              </w:rPr>
              <w:t>What quick, safe test could tell me if I'm right, inside my licence and the permit?</w:t>
            </w:r>
          </w:p>
        </w:tc>
        <w:tc>
          <w:tcPr>
            <w:tcW w:type="dxa" w:w="5669"/>
          </w:tcPr>
          <w:p>
            <w:pPr>
              <w:spacing w:before="60" w:after="60"/>
            </w:pPr>
            <w:r>
              <w:t>Turns the new explanation into an on-the-spot check rather than another guess.</w:t>
            </w:r>
          </w:p>
        </w:tc>
      </w:tr>
      <w:tr>
        <w:trPr>
          <w:cantSplit w:val="true"/>
        </w:trPr>
        <w:tc>
          <w:tcPr>
            <w:tcW w:type="dxa" w:w="3969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Who do I tell now, and do I need to escalate?</w:t>
            </w:r>
          </w:p>
        </w:tc>
        <w:tc>
          <w:tcPr>
            <w:tcW w:type="dxa" w:w="5669"/>
            <w:shd w:val="clear" w:color="auto" w:fill="F7F0FB"/>
          </w:tcPr>
          <w:p>
            <w:pPr>
              <w:spacing w:before="60" w:after="60"/>
            </w:pPr>
            <w:r>
              <w:t>Keeps the client informed and keeps the test inside the safety rules.</w:t>
            </w:r>
          </w:p>
        </w:tc>
      </w:tr>
    </w:tbl>
    <w:p>
      <w:pPr>
        <w:spacing w:before="160"/>
      </w:pPr>
      <w:r>
        <w:rPr>
          <w:i/>
          <w:color w:val="5A5766"/>
        </w:rPr>
        <w:t>Schön describes reflection-in-action through a surprise, rethinking the problem and an on-the-spot experiment (The Reflective Practitioner, 1983, pp. 50 and 63). The four questions are our wording, not his steps.</w:t>
      </w:r>
    </w:p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Worked example, Part 1: the technician's after-the-job review</w:t>
      </w:r>
    </w:p>
    <w:p>
      <w:r>
        <w:t>Hypothetical example. A commercial building services company maintains HVAC plant in office buildings. A tenant on level 6 reported the floor was too hot on a summer afternoon. The job ticket and the manufacturer's flowchart pointed to a failed temperature sensor on rooftop unit 2. The technician, in their first year of solo call-outs, replaced the sensor; the unit tripped again 20 minutes later. The building manager wanted it fixed before a client event at 4 pm.</w:t>
      </w:r>
    </w:p>
    <w:p>
      <w:r>
        <w:t>Job note written on the ticket at the time: "Tripped again 2.40 pm as units 1 and 3 started."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311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Prompt</w:t>
            </w:r>
          </w:p>
        </w:tc>
        <w:tc>
          <w:tcPr>
            <w:tcW w:type="dxa" w:w="6520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Example answer</w:t>
            </w:r>
          </w:p>
        </w:tc>
      </w:tr>
      <w:tr>
        <w:trPr>
          <w:cantSplit w:val="true"/>
        </w:trPr>
        <w:tc>
          <w:tcPr>
            <w:tcW w:type="dxa" w:w="3118"/>
          </w:tcPr>
          <w:p>
            <w:pPr>
              <w:spacing w:before="60" w:after="60"/>
            </w:pPr>
            <w:r>
              <w:rPr>
                <w:b/>
              </w:rPr>
              <w:t>What happened, in order?</w:t>
            </w:r>
          </w:p>
        </w:tc>
        <w:tc>
          <w:tcPr>
            <w:tcW w:type="dxa" w:w="6520"/>
          </w:tcPr>
          <w:p>
            <w:pPr>
              <w:spacing w:before="60" w:after="60"/>
            </w:pPr>
            <w:r>
              <w:t>Followed the flowchart and replaced the sensor at 2.20 pm. Unit 2 tripped again at 2.40 pm. Fault log showed trips only when units 1 and 3 started up.</w:t>
            </w:r>
          </w:p>
        </w:tc>
      </w:tr>
      <w:tr>
        <w:trPr>
          <w:cantSplit w:val="true"/>
        </w:trPr>
        <w:tc>
          <w:tcPr>
            <w:tcW w:type="dxa" w:w="3118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What surprised you?</w:t>
            </w:r>
          </w:p>
        </w:tc>
        <w:tc>
          <w:tcPr>
            <w:tcW w:type="dxa" w:w="6520"/>
            <w:shd w:val="clear" w:color="auto" w:fill="F7F0FB"/>
          </w:tcPr>
          <w:p>
            <w:pPr>
              <w:spacing w:before="60" w:after="60"/>
            </w:pPr>
            <w:r>
              <w:t>The new sensor made no difference, and the trips lined up with the other units starting.</w:t>
            </w:r>
          </w:p>
        </w:tc>
      </w:tr>
      <w:tr>
        <w:trPr>
          <w:cantSplit w:val="true"/>
        </w:trPr>
        <w:tc>
          <w:tcPr>
            <w:tcW w:type="dxa" w:w="3118"/>
          </w:tcPr>
          <w:p>
            <w:pPr>
              <w:spacing w:before="60" w:after="60"/>
            </w:pPr>
            <w:r>
              <w:rPr>
                <w:b/>
              </w:rPr>
              <w:t>How did your view of the fault change?</w:t>
            </w:r>
          </w:p>
        </w:tc>
        <w:tc>
          <w:tcPr>
            <w:tcW w:type="dxa" w:w="6520"/>
          </w:tcPr>
          <w:p>
            <w:pPr>
              <w:spacing w:before="60" w:after="60"/>
            </w:pPr>
            <w:r>
              <w:t>I stopped treating it as a sensor fault and started treating it as a supply or load problem at start-up.</w:t>
            </w:r>
          </w:p>
        </w:tc>
      </w:tr>
      <w:tr>
        <w:trPr>
          <w:cantSplit w:val="true"/>
        </w:trPr>
        <w:tc>
          <w:tcPr>
            <w:tcW w:type="dxa" w:w="3118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What did you test, and what did it show?</w:t>
            </w:r>
          </w:p>
        </w:tc>
        <w:tc>
          <w:tcPr>
            <w:tcW w:type="dxa" w:w="6520"/>
            <w:shd w:val="clear" w:color="auto" w:fill="F7F0FB"/>
          </w:tcPr>
          <w:p>
            <w:pPr>
              <w:spacing w:before="60" w:after="60"/>
            </w:pPr>
            <w:r>
              <w:t>Compared the fault timestamps with existing start-up records and requested an authorised diagnostic check by a suitably qualified person. The findings informed the next permitted action.</w:t>
            </w:r>
          </w:p>
        </w:tc>
      </w:tr>
      <w:tr>
        <w:trPr>
          <w:cantSplit w:val="true"/>
        </w:trPr>
        <w:tc>
          <w:tcPr>
            <w:tcW w:type="dxa" w:w="3118"/>
          </w:tcPr>
          <w:p>
            <w:pPr>
              <w:spacing w:before="60" w:after="60"/>
            </w:pPr>
            <w:r>
              <w:rPr>
                <w:b/>
              </w:rPr>
              <w:t>Who did you tell, and did you escalate?</w:t>
            </w:r>
          </w:p>
        </w:tc>
        <w:tc>
          <w:tcPr>
            <w:tcW w:type="dxa" w:w="6520"/>
          </w:tcPr>
          <w:p>
            <w:pPr>
              <w:spacing w:before="60" w:after="60"/>
            </w:pPr>
            <w:r>
              <w:t>Kept the building manager updated in person at each step. Logged a follow-up for an electrician to check the supply, which needed work outside my permit.</w:t>
            </w:r>
          </w:p>
        </w:tc>
      </w:tr>
      <w:tr>
        <w:trPr>
          <w:cantSplit w:val="true"/>
        </w:trPr>
        <w:tc>
          <w:tcPr>
            <w:tcW w:type="dxa" w:w="3118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What would you do next time?</w:t>
            </w:r>
          </w:p>
        </w:tc>
        <w:tc>
          <w:tcPr>
            <w:tcW w:type="dxa" w:w="6520"/>
            <w:shd w:val="clear" w:color="auto" w:fill="F7F0FB"/>
          </w:tcPr>
          <w:p>
            <w:pPr>
              <w:spacing w:before="60" w:after="60"/>
            </w:pPr>
            <w:r>
              <w:t>Check the fault log timestamps against the start-up schedule before swapping a second part.</w:t>
            </w:r>
          </w:p>
        </w:tc>
      </w:tr>
    </w:tbl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Part 2: the mentor's 20-minute coaching review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3324"/>
        <w:gridCol w:w="3324"/>
        <w:gridCol w:w="3324"/>
      </w:tblGrid>
      <w:tr>
        <w:trPr>
          <w:tblHeader w:val="true"/>
          <w:cantSplit w:val="true"/>
        </w:trPr>
        <w:tc>
          <w:tcPr>
            <w:tcW w:type="dxa" w:w="113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Time</w:t>
            </w:r>
          </w:p>
        </w:tc>
        <w:tc>
          <w:tcPr>
            <w:tcW w:type="dxa" w:w="255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Purpose</w:t>
            </w:r>
          </w:p>
        </w:tc>
        <w:tc>
          <w:tcPr>
            <w:tcW w:type="dxa" w:w="5953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Mentor questions</w:t>
            </w:r>
          </w:p>
        </w:tc>
      </w:tr>
      <w:tr>
        <w:trPr>
          <w:cantSplit w:val="true"/>
        </w:trPr>
        <w:tc>
          <w:tcPr>
            <w:tcW w:type="dxa" w:w="1134"/>
          </w:tcPr>
          <w:p>
            <w:pPr>
              <w:spacing w:before="60" w:after="60"/>
            </w:pPr>
            <w:r>
              <w:rPr>
                <w:b/>
              </w:rPr>
              <w:t>3 min</w:t>
            </w:r>
          </w:p>
        </w:tc>
        <w:tc>
          <w:tcPr>
            <w:tcW w:type="dxa" w:w="2551"/>
          </w:tcPr>
          <w:p>
            <w:pPr>
              <w:spacing w:before="60" w:after="60"/>
            </w:pPr>
            <w:r>
              <w:t>Hear the job</w:t>
            </w:r>
          </w:p>
        </w:tc>
        <w:tc>
          <w:tcPr>
            <w:tcW w:type="dxa" w:w="5953"/>
          </w:tcPr>
          <w:p>
            <w:pPr>
              <w:spacing w:before="60" w:after="60"/>
            </w:pPr>
            <w:r>
              <w:t>Talk me through it from when you arrived. What did the ticket lead you to expect?</w:t>
            </w:r>
          </w:p>
        </w:tc>
      </w:tr>
      <w:tr>
        <w:trPr>
          <w:cantSplit w:val="true"/>
        </w:trPr>
        <w:tc>
          <w:tcPr>
            <w:tcW w:type="dxa" w:w="113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5 min</w:t>
            </w:r>
          </w:p>
        </w:tc>
        <w:tc>
          <w:tcPr>
            <w:tcW w:type="dxa" w:w="2551"/>
            <w:shd w:val="clear" w:color="auto" w:fill="F7F0FB"/>
          </w:tcPr>
          <w:p>
            <w:pPr>
              <w:spacing w:before="60" w:after="60"/>
            </w:pPr>
            <w:r>
              <w:t>Find the surprise</w:t>
            </w:r>
          </w:p>
        </w:tc>
        <w:tc>
          <w:tcPr>
            <w:tcW w:type="dxa" w:w="5953"/>
            <w:shd w:val="clear" w:color="auto" w:fill="F7F0FB"/>
          </w:tcPr>
          <w:p>
            <w:pPr>
              <w:spacing w:before="60" w:after="60"/>
            </w:pPr>
            <w:r>
              <w:t>When did it stop making sense? What did you notice first?</w:t>
            </w:r>
          </w:p>
        </w:tc>
      </w:tr>
      <w:tr>
        <w:trPr>
          <w:cantSplit w:val="true"/>
        </w:trPr>
        <w:tc>
          <w:tcPr>
            <w:tcW w:type="dxa" w:w="1134"/>
          </w:tcPr>
          <w:p>
            <w:pPr>
              <w:spacing w:before="60" w:after="60"/>
            </w:pPr>
            <w:r>
              <w:rPr>
                <w:b/>
              </w:rPr>
              <w:t>5 min</w:t>
            </w:r>
          </w:p>
        </w:tc>
        <w:tc>
          <w:tcPr>
            <w:tcW w:type="dxa" w:w="2551"/>
          </w:tcPr>
          <w:p>
            <w:pPr>
              <w:spacing w:before="60" w:after="60"/>
            </w:pPr>
            <w:r>
              <w:t>Look at the reframe and the test</w:t>
            </w:r>
          </w:p>
        </w:tc>
        <w:tc>
          <w:tcPr>
            <w:tcW w:type="dxa" w:w="5953"/>
          </w:tcPr>
          <w:p>
            <w:pPr>
              <w:spacing w:before="60" w:after="60"/>
            </w:pPr>
            <w:r>
              <w:t>What did you think was going on then? Why that test? What else could have told the two explanations apart?</w:t>
            </w:r>
          </w:p>
        </w:tc>
      </w:tr>
      <w:tr>
        <w:trPr>
          <w:cantSplit w:val="true"/>
        </w:trPr>
        <w:tc>
          <w:tcPr>
            <w:tcW w:type="dxa" w:w="113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4 min</w:t>
            </w:r>
          </w:p>
        </w:tc>
        <w:tc>
          <w:tcPr>
            <w:tcW w:type="dxa" w:w="2551"/>
            <w:shd w:val="clear" w:color="auto" w:fill="F7F0FB"/>
          </w:tcPr>
          <w:p>
            <w:pPr>
              <w:spacing w:before="60" w:after="60"/>
            </w:pPr>
            <w:r>
              <w:t>Check the boundary</w:t>
            </w:r>
          </w:p>
        </w:tc>
        <w:tc>
          <w:tcPr>
            <w:tcW w:type="dxa" w:w="5953"/>
            <w:shd w:val="clear" w:color="auto" w:fill="F7F0FB"/>
          </w:tcPr>
          <w:p>
            <w:pPr>
              <w:spacing w:before="60" w:after="60"/>
            </w:pPr>
            <w:r>
              <w:t>Where was the edge of your licence and the permit? Would you escalate at the same point next time?</w:t>
            </w:r>
          </w:p>
        </w:tc>
      </w:tr>
      <w:tr>
        <w:trPr>
          <w:cantSplit w:val="true"/>
        </w:trPr>
        <w:tc>
          <w:tcPr>
            <w:tcW w:type="dxa" w:w="1134"/>
          </w:tcPr>
          <w:p>
            <w:pPr>
              <w:spacing w:before="60" w:after="60"/>
            </w:pPr>
            <w:r>
              <w:rPr>
                <w:b/>
              </w:rPr>
              <w:t>3 min</w:t>
            </w:r>
          </w:p>
        </w:tc>
        <w:tc>
          <w:tcPr>
            <w:tcW w:type="dxa" w:w="2551"/>
          </w:tcPr>
          <w:p>
            <w:pPr>
              <w:spacing w:before="60" w:after="60"/>
            </w:pPr>
            <w:r>
              <w:t>Agree one thing to try</w:t>
            </w:r>
          </w:p>
        </w:tc>
        <w:tc>
          <w:tcPr>
            <w:tcW w:type="dxa" w:w="5953"/>
          </w:tcPr>
          <w:p>
            <w:pPr>
              <w:spacing w:before="60" w:after="60"/>
            </w:pPr>
            <w:r>
              <w:t>What will you try on the next job like this? Shall we try it together on the next similar call-out?</w:t>
            </w:r>
          </w:p>
        </w:tc>
      </w:tr>
    </w:tbl>
    <w:p>
      <w:pPr>
        <w:spacing w:before="160"/>
      </w:pPr>
      <w:r>
        <w:t>Ask before you tell. If the technician gets stuck, show them how you would read the fault log, then hand the question back.</w:t>
      </w:r>
    </w:p>
    <w:p>
      <w:pPr>
        <w:spacing w:before="160"/>
      </w:pPr>
      <w:r>
        <w:rPr>
          <w:i/>
          <w:color w:val="5A5766"/>
        </w:rPr>
        <w:t>Suggested timings, not Schön's. In his 1987 address Schön describes the coach's job as attending to the learner's specific problem, demonstrating in ways suited to that learner, and building a relationship in which defensiveness is kept low.</w:t>
      </w:r>
    </w:p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Three ways to coach the review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3324"/>
        <w:gridCol w:w="3324"/>
        <w:gridCol w:w="3324"/>
      </w:tblGrid>
      <w:tr>
        <w:trPr>
          <w:tblHeader w:val="true"/>
          <w:cantSplit w:val="true"/>
        </w:trPr>
        <w:tc>
          <w:tcPr>
            <w:tcW w:type="dxa" w:w="226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Approach</w:t>
            </w:r>
          </w:p>
        </w:tc>
        <w:tc>
          <w:tcPr>
            <w:tcW w:type="dxa" w:w="3402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When to use it</w:t>
            </w:r>
          </w:p>
        </w:tc>
        <w:tc>
          <w:tcPr>
            <w:tcW w:type="dxa" w:w="3969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On the call-out</w:t>
            </w:r>
          </w:p>
        </w:tc>
      </w:tr>
      <w:tr>
        <w:trPr>
          <w:cantSplit w:val="true"/>
        </w:trPr>
        <w:tc>
          <w:tcPr>
            <w:tcW w:type="dxa" w:w="2268"/>
          </w:tcPr>
          <w:p>
            <w:pPr>
              <w:spacing w:before="60" w:after="60"/>
            </w:pPr>
            <w:r>
              <w:rPr>
                <w:b/>
              </w:rPr>
              <w:t>Show, then ask them to follow</w:t>
            </w:r>
          </w:p>
        </w:tc>
        <w:tc>
          <w:tcPr>
            <w:tcW w:type="dxa" w:w="3402"/>
          </w:tcPr>
          <w:p>
            <w:pPr>
              <w:spacing w:before="60" w:after="60"/>
            </w:pPr>
            <w:r>
              <w:t>The technician lacks a move you can demonstrate</w:t>
            </w:r>
          </w:p>
        </w:tc>
        <w:tc>
          <w:tcPr>
            <w:tcW w:type="dxa" w:w="3969"/>
          </w:tcPr>
          <w:p>
            <w:pPr>
              <w:spacing w:before="60" w:after="60"/>
            </w:pPr>
            <w:r>
              <w:t>Show how you read the fault log against the start-up schedule, then ask them to do it on the next log</w:t>
            </w:r>
          </w:p>
        </w:tc>
      </w:tr>
      <w:tr>
        <w:trPr>
          <w:cantSplit w:val="true"/>
        </w:trPr>
        <w:tc>
          <w:tcPr>
            <w:tcW w:type="dxa" w:w="2268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Experiment together</w:t>
            </w:r>
          </w:p>
        </w:tc>
        <w:tc>
          <w:tcPr>
            <w:tcW w:type="dxa" w:w="3402"/>
            <w:shd w:val="clear" w:color="auto" w:fill="F7F0FB"/>
          </w:tcPr>
          <w:p>
            <w:pPr>
              <w:spacing w:before="60" w:after="60"/>
            </w:pPr>
            <w:r>
              <w:t>The next step is uncertain for both of you</w:t>
            </w:r>
          </w:p>
        </w:tc>
        <w:tc>
          <w:tcPr>
            <w:tcW w:type="dxa" w:w="3969"/>
            <w:shd w:val="clear" w:color="auto" w:fill="F7F0FB"/>
          </w:tcPr>
          <w:p>
            <w:pPr>
              <w:spacing w:before="60" w:after="60"/>
            </w:pPr>
            <w:r>
              <w:t>Try the next test side by side on a similar job and compare what each of you expected</w:t>
            </w:r>
          </w:p>
        </w:tc>
      </w:tr>
      <w:tr>
        <w:trPr>
          <w:cantSplit w:val="true"/>
        </w:trPr>
        <w:tc>
          <w:tcPr>
            <w:tcW w:type="dxa" w:w="2268"/>
          </w:tcPr>
          <w:p>
            <w:pPr>
              <w:spacing w:before="60" w:after="60"/>
            </w:pPr>
            <w:r>
              <w:rPr>
                <w:b/>
              </w:rPr>
              <w:t>Hall of mirrors</w:t>
            </w:r>
          </w:p>
        </w:tc>
        <w:tc>
          <w:tcPr>
            <w:tcW w:type="dxa" w:w="3402"/>
          </w:tcPr>
          <w:p>
            <w:pPr>
              <w:spacing w:before="60" w:after="60"/>
            </w:pPr>
            <w:r>
              <w:t>You want them to learn the questioning itself</w:t>
            </w:r>
          </w:p>
        </w:tc>
        <w:tc>
          <w:tcPr>
            <w:tcW w:type="dxa" w:w="3969"/>
          </w:tcPr>
          <w:p>
            <w:pPr>
              <w:spacing w:before="60" w:after="60"/>
            </w:pPr>
            <w:r>
              <w:t>Ask the questions you want them to ask on the roof, and point out that you are doing it</w:t>
            </w:r>
          </w:p>
        </w:tc>
      </w:tr>
    </w:tbl>
    <w:p>
      <w:pPr>
        <w:spacing w:before="160"/>
      </w:pPr>
      <w:r>
        <w:rPr>
          <w:i/>
          <w:color w:val="5A5766"/>
        </w:rPr>
        <w:t>Descriptions of Schön's Educating the Reflective Practitioner (1987) give three coaching approaches. Only the hall of mirrors was checked in Schön's own words (his 1987 address); the other two are paraphrased.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Part 3: one question for the team about the measure</w:t>
      </w:r>
    </w:p>
    <w:p>
      <w:r>
        <w:t>A single-loop fix corrects the job. A double-loop question, in Argyris and Schön's terms, asks whether a rule, target or measure is producing the same workaround again and again.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3402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Question</w:t>
            </w:r>
          </w:p>
        </w:tc>
        <w:tc>
          <w:tcPr>
            <w:tcW w:type="dxa" w:w="6236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Worked example</w:t>
            </w:r>
          </w:p>
        </w:tc>
      </w:tr>
      <w:tr>
        <w:trPr>
          <w:cantSplit w:val="true"/>
        </w:trPr>
        <w:tc>
          <w:tcPr>
            <w:tcW w:type="dxa" w:w="3402"/>
          </w:tcPr>
          <w:p>
            <w:pPr>
              <w:spacing w:before="60" w:after="60"/>
            </w:pPr>
            <w:r>
              <w:rPr>
                <w:b/>
              </w:rPr>
              <w:t>What workaround keeps coming up in reviews?</w:t>
            </w:r>
          </w:p>
        </w:tc>
        <w:tc>
          <w:tcPr>
            <w:tcW w:type="dxa" w:w="6236"/>
          </w:tcPr>
          <w:p>
            <w:pPr>
              <w:spacing w:before="60" w:after="60"/>
            </w:pPr>
            <w:r>
              <w:t>Swapping a second part when the first swap does not fix the fault.</w:t>
            </w:r>
          </w:p>
        </w:tc>
      </w:tr>
      <w:tr>
        <w:trPr>
          <w:cantSplit w:val="true"/>
        </w:trPr>
        <w:tc>
          <w:tcPr>
            <w:tcW w:type="dxa" w:w="3402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Which rule, target or measure might reward it?</w:t>
            </w:r>
          </w:p>
        </w:tc>
        <w:tc>
          <w:tcPr>
            <w:tcW w:type="dxa" w:w="6236"/>
            <w:shd w:val="clear" w:color="auto" w:fill="F7F0FB"/>
          </w:tcPr>
          <w:p>
            <w:pPr>
              <w:spacing w:before="60" w:after="60"/>
            </w:pPr>
            <w:r>
              <w:t>The first-time-fix measure rewards swapping the part and closing the job.</w:t>
            </w:r>
          </w:p>
        </w:tc>
      </w:tr>
      <w:tr>
        <w:trPr>
          <w:cantSplit w:val="true"/>
        </w:trPr>
        <w:tc>
          <w:tcPr>
            <w:tcW w:type="dxa" w:w="3402"/>
          </w:tcPr>
          <w:p>
            <w:pPr>
              <w:spacing w:before="60" w:after="60"/>
            </w:pPr>
            <w:r>
              <w:rPr>
                <w:b/>
              </w:rPr>
              <w:t>What do we say we value, and what does the measure reward?</w:t>
            </w:r>
          </w:p>
        </w:tc>
        <w:tc>
          <w:tcPr>
            <w:tcW w:type="dxa" w:w="6236"/>
          </w:tcPr>
          <w:p>
            <w:pPr>
              <w:spacing w:before="60" w:after="60"/>
            </w:pPr>
            <w:r>
              <w:t>We say: diagnose properly. The measure rewards: close the job fast.</w:t>
            </w:r>
          </w:p>
        </w:tc>
      </w:tr>
      <w:tr>
        <w:trPr>
          <w:cantSplit w:val="true"/>
        </w:trPr>
        <w:tc>
          <w:tcPr>
            <w:tcW w:type="dxa" w:w="3402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Who owns it, and what could change?</w:t>
            </w:r>
          </w:p>
        </w:tc>
        <w:tc>
          <w:tcPr>
            <w:tcW w:type="dxa" w:w="6236"/>
            <w:shd w:val="clear" w:color="auto" w:fill="F7F0FB"/>
          </w:tcPr>
          <w:p>
            <w:pPr>
              <w:spacing w:before="60" w:after="60"/>
            </w:pPr>
            <w:r>
              <w:t>Service manager. Option to discuss: count a logged escalation with a diagnosis as a good outcome.</w:t>
            </w:r>
          </w:p>
        </w:tc>
      </w:tr>
    </w:tbl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Your after-the-job review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311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Prompt</w:t>
            </w:r>
          </w:p>
        </w:tc>
        <w:tc>
          <w:tcPr>
            <w:tcW w:type="dxa" w:w="6520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Your answer</w:t>
            </w:r>
          </w:p>
        </w:tc>
      </w:tr>
      <w:tr>
        <w:trPr>
          <w:cantSplit w:val="true"/>
          <w:trHeight w:val="1474"/>
        </w:trPr>
        <w:tc>
          <w:tcPr>
            <w:tcW w:type="dxa" w:w="3118"/>
          </w:tcPr>
          <w:p>
            <w:pPr>
              <w:spacing w:before="60" w:after="60"/>
            </w:pPr>
            <w:r>
              <w:rPr>
                <w:b/>
              </w:rPr>
              <w:t>Your note from the job (what happened and when)</w:t>
            </w:r>
          </w:p>
        </w:tc>
        <w:tc>
          <w:tcPr>
            <w:tcW w:type="dxa" w:w="6520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474"/>
        </w:trPr>
        <w:tc>
          <w:tcPr>
            <w:tcW w:type="dxa" w:w="3118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What happened, in order?</w:t>
            </w:r>
          </w:p>
        </w:tc>
        <w:tc>
          <w:tcPr>
            <w:tcW w:type="dxa" w:w="6520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474"/>
        </w:trPr>
        <w:tc>
          <w:tcPr>
            <w:tcW w:type="dxa" w:w="3118"/>
          </w:tcPr>
          <w:p>
            <w:pPr>
              <w:spacing w:before="60" w:after="60"/>
            </w:pPr>
            <w:r>
              <w:rPr>
                <w:b/>
              </w:rPr>
              <w:t>What surprised you?</w:t>
            </w:r>
          </w:p>
        </w:tc>
        <w:tc>
          <w:tcPr>
            <w:tcW w:type="dxa" w:w="6520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474"/>
        </w:trPr>
        <w:tc>
          <w:tcPr>
            <w:tcW w:type="dxa" w:w="3118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How did your view of the problem change?</w:t>
            </w:r>
          </w:p>
        </w:tc>
        <w:tc>
          <w:tcPr>
            <w:tcW w:type="dxa" w:w="6520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474"/>
        </w:trPr>
        <w:tc>
          <w:tcPr>
            <w:tcW w:type="dxa" w:w="3118"/>
          </w:tcPr>
          <w:p>
            <w:pPr>
              <w:spacing w:before="60" w:after="60"/>
            </w:pPr>
            <w:r>
              <w:rPr>
                <w:b/>
              </w:rPr>
              <w:t>What did you test, and what did it show?</w:t>
            </w:r>
          </w:p>
        </w:tc>
        <w:tc>
          <w:tcPr>
            <w:tcW w:type="dxa" w:w="6520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474"/>
        </w:trPr>
        <w:tc>
          <w:tcPr>
            <w:tcW w:type="dxa" w:w="3118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Who did you tell, and did you escalate?</w:t>
            </w:r>
          </w:p>
        </w:tc>
        <w:tc>
          <w:tcPr>
            <w:tcW w:type="dxa" w:w="6520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474"/>
        </w:trPr>
        <w:tc>
          <w:tcPr>
            <w:tcW w:type="dxa" w:w="3118"/>
          </w:tcPr>
          <w:p>
            <w:pPr>
              <w:spacing w:before="60" w:after="60"/>
            </w:pPr>
            <w:r>
              <w:rPr>
                <w:b/>
              </w:rPr>
              <w:t>What would you do next time?</w:t>
            </w:r>
          </w:p>
        </w:tc>
        <w:tc>
          <w:tcPr>
            <w:tcW w:type="dxa" w:w="6520"/>
          </w:tcPr>
          <w:p>
            <w:pPr>
              <w:spacing w:before="60" w:after="60"/>
            </w:pPr>
            <w:r/>
          </w:p>
        </w:tc>
      </w:tr>
    </w:tbl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Mentor's review notes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311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Part of the review</w:t>
            </w:r>
          </w:p>
        </w:tc>
        <w:tc>
          <w:tcPr>
            <w:tcW w:type="dxa" w:w="6520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Notes</w:t>
            </w:r>
          </w:p>
        </w:tc>
      </w:tr>
      <w:tr>
        <w:trPr>
          <w:cantSplit w:val="true"/>
          <w:trHeight w:val="1474"/>
        </w:trPr>
        <w:tc>
          <w:tcPr>
            <w:tcW w:type="dxa" w:w="3118"/>
          </w:tcPr>
          <w:p>
            <w:pPr>
              <w:spacing w:before="60" w:after="60"/>
            </w:pPr>
            <w:r>
              <w:rPr>
                <w:b/>
              </w:rPr>
              <w:t>The surprise, in the technician's words</w:t>
            </w:r>
          </w:p>
        </w:tc>
        <w:tc>
          <w:tcPr>
            <w:tcW w:type="dxa" w:w="6520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474"/>
        </w:trPr>
        <w:tc>
          <w:tcPr>
            <w:tcW w:type="dxa" w:w="3118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The new explanation and the test</w:t>
            </w:r>
          </w:p>
        </w:tc>
        <w:tc>
          <w:tcPr>
            <w:tcW w:type="dxa" w:w="6520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474"/>
        </w:trPr>
        <w:tc>
          <w:tcPr>
            <w:tcW w:type="dxa" w:w="3118"/>
          </w:tcPr>
          <w:p>
            <w:pPr>
              <w:spacing w:before="60" w:after="60"/>
            </w:pPr>
            <w:r>
              <w:rPr>
                <w:b/>
              </w:rPr>
              <w:t>The safety boundary: was it clear, and was escalation used well?</w:t>
            </w:r>
          </w:p>
        </w:tc>
        <w:tc>
          <w:tcPr>
            <w:tcW w:type="dxa" w:w="6520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474"/>
        </w:trPr>
        <w:tc>
          <w:tcPr>
            <w:tcW w:type="dxa" w:w="3118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How you coached: show, experiment together or hall of mirrors</w:t>
            </w:r>
          </w:p>
        </w:tc>
        <w:tc>
          <w:tcPr>
            <w:tcW w:type="dxa" w:w="6520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474"/>
        </w:trPr>
        <w:tc>
          <w:tcPr>
            <w:tcW w:type="dxa" w:w="3118"/>
          </w:tcPr>
          <w:p>
            <w:pPr>
              <w:spacing w:before="60" w:after="60"/>
            </w:pPr>
            <w:r>
              <w:rPr>
                <w:b/>
              </w:rPr>
              <w:t>One thing to try on the next similar job</w:t>
            </w:r>
          </w:p>
        </w:tc>
        <w:tc>
          <w:tcPr>
            <w:tcW w:type="dxa" w:w="6520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474"/>
        </w:trPr>
        <w:tc>
          <w:tcPr>
            <w:tcW w:type="dxa" w:w="3118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A repeated workaround to raise with the team, if any</w:t>
            </w:r>
          </w:p>
        </w:tc>
        <w:tc>
          <w:tcPr>
            <w:tcW w:type="dxa" w:w="6520"/>
            <w:shd w:val="clear" w:color="auto" w:fill="F7F0FB"/>
          </w:tcPr>
          <w:p>
            <w:pPr>
              <w:spacing w:before="60" w:after="60"/>
            </w:pPr>
            <w:r/>
          </w:p>
        </w:tc>
      </w:tr>
    </w:tbl>
    <w:p>
      <w:pPr>
        <w:spacing w:before="160"/>
      </w:pPr>
      <w:r>
        <w:rPr>
          <w:i/>
          <w:color w:val="5A5766"/>
        </w:rPr>
        <w:t>Drawing on Schön, D. A. (1983) The Reflective Practitioner; Schön's 1987 address, Educating the Reflective Practitioner, and descriptions of his 1987 book of the same title; Argyris, C. and Schön, D. A. (1978) Organizational Learning. Schön's terms are credited to him; the prompts, timings and example are Coursebox's own. This guide gives no score and does not certify a technician or a review.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07" w:right="1134" w:bottom="907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A5766"/>
        <w:sz w:val="16"/>
      </w:rPr>
      <w:t xml:space="preserve">coursebox.ai  |  free template  |  page </w:t>
    </w:r>
    <w:r>
      <w:rPr>
        <w:color w:val="5A5766"/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216000" cy="21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oursebox-logo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000" cy="21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5D008F"/>
        <w:sz w:val="22"/>
      </w:rPr>
      <w:t xml:space="preserve">  Coursebox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A162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