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Guided Discovery Lesson Planner</w:t>
      </w:r>
    </w:p>
    <w:p>
      <w:r>
        <w:rPr>
          <w:color w:val="5A5766"/>
          <w:sz w:val="22"/>
        </w:rPr>
        <w:t>Plan a lesson in which learners work out a principle from cases, with hints, feedback and explicit teaching after the attempt. The steps are our adaptation of Alfieri and colleagues' findings on guided discovery (2011) and Kapur's order of attempt, then teaching (2015). It is a planning aid, not a validated tool, and it has no scores. A hypothetical credit union course is filled in, followed by a blank planner.</w:t>
      </w:r>
    </w:p>
    <w:p>
      <w:r>
        <w:rPr>
          <w:i/>
          <w:color w:val="5A5766"/>
          <w:sz w:val="18"/>
        </w:rPr>
        <w:t>From the Coursebox blog: coursebox.ai/blog/what-is-discovery-learning</w:t>
      </w:r>
    </w:p>
    <w:p>
      <w:pPr>
        <w:keepNext/>
        <w:spacing w:before="240" w:after="80"/>
      </w:pPr>
      <w:r>
        <w:rPr>
          <w:b/>
          <w:color w:val="5D008F"/>
          <w:sz w:val="28"/>
        </w:rPr>
        <w:t>How to use this planner</w:t>
      </w:r>
    </w:p>
    <w:p>
      <w:pPr>
        <w:pStyle w:val="ListBullet"/>
      </w:pPr>
      <w:r>
        <w:t>Use it for one objective that learners can work out from cases. Check that first with the discover or tell decision sheet.</w:t>
      </w:r>
    </w:p>
    <w:p>
      <w:pPr>
        <w:pStyle w:val="ListBullet"/>
      </w:pPr>
      <w:r>
        <w:t>Fill in the steps in order. Write the cases and the explicit teaching before the hints, so the hints point at something definite.</w:t>
      </w:r>
    </w:p>
    <w:p>
      <w:pPr>
        <w:pStyle w:val="ListBullet"/>
      </w:pPr>
      <w:r>
        <w:t>Write the hint ladder from the end: the last hint points at the pattern, the first only says where to look.</w:t>
      </w:r>
    </w:p>
    <w:p>
      <w:pPr>
        <w:pStyle w:val="ListBullet"/>
      </w:pPr>
      <w:r>
        <w:t>Give learners every fact the decision needs. Do not ask for a judgement the case files cannot support.</w:t>
      </w:r>
    </w:p>
    <w:p>
      <w:pPr>
        <w:pStyle w:val="ListBullet"/>
      </w:pPr>
      <w:r>
        <w:t>Keep procedures, legal duties and rules no case reveals out of the discovery part. Teach them directly after the principle.</w:t>
      </w:r>
    </w:p>
    <w:p>
      <w:pPr>
        <w:pStyle w:val="ListBullet"/>
      </w:pPr>
      <w:r>
        <w:t>Run the quality check after the worked example on your own plan before you build the lesson or brief a course tool.</w:t>
      </w:r>
    </w:p>
    <w:p>
      <w:pPr>
        <w:keepNext/>
        <w:spacing w:before="240" w:after="80"/>
      </w:pPr>
      <w:r>
        <w:rPr>
          <w:b/>
          <w:color w:val="5D008F"/>
          <w:sz w:val="28"/>
        </w:rPr>
        <w:t>Worked example, step 1: the objective and the learners</w:t>
      </w:r>
    </w:p>
    <w:p>
      <w:r>
        <w:t>Hypothetical example: a member-owned Australian credit union's 45-minute course for branch customer service officers.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118"/>
            <w:shd w:val="clear" w:color="auto" w:fill="5D008F"/>
          </w:tcPr>
          <w:p>
            <w:pPr>
              <w:spacing w:before="60" w:after="60"/>
            </w:pPr>
            <w:r/>
            <w:r>
              <w:rPr>
                <w:b/>
                <w:color w:val="FFFFFF"/>
              </w:rPr>
              <w:t>Question</w:t>
            </w:r>
          </w:p>
        </w:tc>
        <w:tc>
          <w:tcPr>
            <w:tcW w:type="dxa" w:w="6520"/>
            <w:shd w:val="clear" w:color="auto" w:fill="5D008F"/>
          </w:tcPr>
          <w:p>
            <w:pPr>
              <w:spacing w:before="60" w:after="60"/>
            </w:pPr>
            <w:r/>
            <w:r>
              <w:rPr>
                <w:b/>
                <w:color w:val="FFFFFF"/>
              </w:rPr>
              <w:t>Credit union course</w:t>
            </w:r>
          </w:p>
        </w:tc>
      </w:tr>
      <w:tr>
        <w:trPr>
          <w:cantSplit w:val="true"/>
        </w:trPr>
        <w:tc>
          <w:tcPr>
            <w:tcW w:type="dxa" w:w="3118"/>
          </w:tcPr>
          <w:p>
            <w:pPr>
              <w:spacing w:before="60" w:after="60"/>
            </w:pPr>
            <w:r>
              <w:rPr>
                <w:b/>
              </w:rPr>
              <w:t>Principle learners will work out</w:t>
            </w:r>
          </w:p>
        </w:tc>
        <w:tc>
          <w:tcPr>
            <w:tcW w:type="dxa" w:w="6520"/>
          </w:tcPr>
          <w:p>
            <w:pPr>
              <w:spacing w:before="60" w:after="60"/>
            </w:pPr>
            <w:r>
              <w:t>No single warning sign decides. Two or more of four signals together means pause before processing</w:t>
            </w:r>
          </w:p>
        </w:tc>
      </w:tr>
      <w:tr>
        <w:trPr>
          <w:cantSplit w:val="true"/>
        </w:trPr>
        <w:tc>
          <w:tcPr>
            <w:tcW w:type="dxa" w:w="3118"/>
            <w:shd w:val="clear" w:color="auto" w:fill="F7F0FB"/>
          </w:tcPr>
          <w:p>
            <w:pPr>
              <w:spacing w:before="60" w:after="60"/>
            </w:pPr>
            <w:r>
              <w:rPr>
                <w:b/>
              </w:rPr>
              <w:t>What is told, not discovered</w:t>
            </w:r>
          </w:p>
        </w:tc>
        <w:tc>
          <w:tcPr>
            <w:tcW w:type="dxa" w:w="6520"/>
            <w:shd w:val="clear" w:color="auto" w:fill="F7F0FB"/>
          </w:tcPr>
          <w:p>
            <w:pPr>
              <w:spacing w:before="60" w:after="60"/>
            </w:pPr>
            <w:r>
              <w:t>Independent verification of emailed supplier bank changes, the procedure after a pause, and what an officer may not do (refuse money on their own judgement, accuse the member, complete a payment while the member is on a call with the person asking for it)</w:t>
            </w:r>
          </w:p>
        </w:tc>
      </w:tr>
      <w:tr>
        <w:trPr>
          <w:cantSplit w:val="true"/>
        </w:trPr>
        <w:tc>
          <w:tcPr>
            <w:tcW w:type="dxa" w:w="3118"/>
          </w:tcPr>
          <w:p>
            <w:pPr>
              <w:spacing w:before="60" w:after="60"/>
            </w:pPr>
            <w:r>
              <w:rPr>
                <w:b/>
              </w:rPr>
              <w:t>Who the learners are</w:t>
            </w:r>
          </w:p>
        </w:tc>
        <w:tc>
          <w:tcPr>
            <w:tcW w:type="dxa" w:w="6520"/>
          </w:tcPr>
          <w:p>
            <w:pPr>
              <w:spacing w:before="60" w:after="60"/>
            </w:pPr>
            <w:r>
              <w:t>Branch customer service officers with at least 6 months on the counter</w:t>
            </w:r>
          </w:p>
        </w:tc>
      </w:tr>
      <w:tr>
        <w:trPr>
          <w:cantSplit w:val="true"/>
        </w:trPr>
        <w:tc>
          <w:tcPr>
            <w:tcW w:type="dxa" w:w="3118"/>
            <w:shd w:val="clear" w:color="auto" w:fill="F7F0FB"/>
          </w:tcPr>
          <w:p>
            <w:pPr>
              <w:spacing w:before="60" w:after="60"/>
            </w:pPr>
            <w:r>
              <w:rPr>
                <w:b/>
              </w:rPr>
              <w:t>What they already know</w:t>
            </w:r>
          </w:p>
        </w:tc>
        <w:tc>
          <w:tcPr>
            <w:tcW w:type="dxa" w:w="6520"/>
            <w:shd w:val="clear" w:color="auto" w:fill="F7F0FB"/>
          </w:tcPr>
          <w:p>
            <w:pPr>
              <w:spacing w:before="60" w:after="60"/>
            </w:pPr>
            <w:r>
              <w:t>How to process payments, the core banking screen and each member's payment history; scam types from an annual awareness module</w:t>
            </w:r>
          </w:p>
        </w:tc>
      </w:tr>
      <w:tr>
        <w:trPr>
          <w:cantSplit w:val="true"/>
        </w:trPr>
        <w:tc>
          <w:tcPr>
            <w:tcW w:type="dxa" w:w="3118"/>
          </w:tcPr>
          <w:p>
            <w:pPr>
              <w:spacing w:before="60" w:after="60"/>
            </w:pPr>
            <w:r>
              <w:rPr>
                <w:b/>
              </w:rPr>
              <w:t>The problem now</w:t>
            </w:r>
          </w:p>
        </w:tc>
        <w:tc>
          <w:tcPr>
            <w:tcW w:type="dxa" w:w="6520"/>
          </w:tcPr>
          <w:p>
            <w:pPr>
              <w:spacing w:before="60" w:after="60"/>
            </w:pPr>
            <w:r>
              <w:t>Officers passed the awareness quiz but still processed scam-driven payments, because they checked signs one at a time</w:t>
            </w:r>
          </w:p>
        </w:tc>
      </w:tr>
      <w:tr>
        <w:trPr>
          <w:cantSplit w:val="true"/>
        </w:trPr>
        <w:tc>
          <w:tcPr>
            <w:tcW w:type="dxa" w:w="3118"/>
            <w:shd w:val="clear" w:color="auto" w:fill="F7F0FB"/>
          </w:tcPr>
          <w:p>
            <w:pPr>
              <w:spacing w:before="60" w:after="60"/>
            </w:pPr>
            <w:r>
              <w:rPr>
                <w:b/>
              </w:rPr>
              <w:t>Intended outcome</w:t>
            </w:r>
          </w:p>
        </w:tc>
        <w:tc>
          <w:tcPr>
            <w:tcW w:type="dxa" w:w="6520"/>
            <w:shd w:val="clear" w:color="auto" w:fill="F7F0FB"/>
          </w:tcPr>
          <w:p>
            <w:pPr>
              <w:spacing w:before="60" w:after="60"/>
            </w:pPr>
            <w:r>
              <w:t>Officers sort requests into process and pause, name the signals they saw, have the conversation and refer correctly. Not certified fraud competence or authority to refuse a payment</w:t>
            </w:r>
          </w:p>
        </w:tc>
      </w:tr>
    </w:tbl>
    <w:p>
      <w:pPr>
        <w:keepNext/>
        <w:pageBreakBefore/>
        <w:spacing w:before="240" w:after="80"/>
      </w:pPr>
      <w:r>
        <w:rPr>
          <w:b/>
          <w:color w:val="5D008F"/>
          <w:sz w:val="28"/>
        </w:rPr>
        <w:t>Worked example, step 2: the cases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020"/>
            <w:shd w:val="clear" w:color="auto" w:fill="5D008F"/>
          </w:tcPr>
          <w:p>
            <w:pPr>
              <w:spacing w:before="60" w:after="60"/>
            </w:pPr>
            <w:r/>
            <w:r>
              <w:rPr>
                <w:b/>
                <w:color w:val="FFFFFF"/>
              </w:rPr>
              <w:t>Case</w:t>
            </w:r>
          </w:p>
        </w:tc>
        <w:tc>
          <w:tcPr>
            <w:tcW w:type="dxa" w:w="4535"/>
            <w:shd w:val="clear" w:color="auto" w:fill="5D008F"/>
          </w:tcPr>
          <w:p>
            <w:pPr>
              <w:spacing w:before="60" w:after="60"/>
            </w:pPr>
            <w:r/>
            <w:r>
              <w:rPr>
                <w:b/>
                <w:color w:val="FFFFFF"/>
              </w:rPr>
              <w:t>Facts learners get</w:t>
            </w:r>
          </w:p>
        </w:tc>
        <w:tc>
          <w:tcPr>
            <w:tcW w:type="dxa" w:w="1474"/>
            <w:shd w:val="clear" w:color="auto" w:fill="5D008F"/>
          </w:tcPr>
          <w:p>
            <w:pPr>
              <w:spacing w:before="60" w:after="60"/>
            </w:pPr>
            <w:r/>
            <w:r>
              <w:rPr>
                <w:b/>
                <w:color w:val="FFFFFF"/>
              </w:rPr>
              <w:t>Right call</w:t>
            </w:r>
          </w:p>
        </w:tc>
        <w:tc>
          <w:tcPr>
            <w:tcW w:type="dxa" w:w="2608"/>
            <w:shd w:val="clear" w:color="auto" w:fill="5D008F"/>
          </w:tcPr>
          <w:p>
            <w:pPr>
              <w:spacing w:before="60" w:after="60"/>
            </w:pPr>
            <w:r/>
            <w:r>
              <w:rPr>
                <w:b/>
                <w:color w:val="FFFFFF"/>
              </w:rPr>
              <w:t>What it shows</w:t>
            </w:r>
          </w:p>
        </w:tc>
      </w:tr>
      <w:tr>
        <w:trPr>
          <w:cantSplit w:val="true"/>
        </w:trPr>
        <w:tc>
          <w:tcPr>
            <w:tcW w:type="dxa" w:w="1020"/>
          </w:tcPr>
          <w:p>
            <w:pPr>
              <w:spacing w:before="60" w:after="60"/>
            </w:pPr>
            <w:r>
              <w:rPr>
                <w:b/>
              </w:rPr>
              <w:t>A</w:t>
            </w:r>
          </w:p>
        </w:tc>
        <w:tc>
          <w:tcPr>
            <w:tcW w:type="dxa" w:w="4535"/>
          </w:tcPr>
          <w:p>
            <w:pPr>
              <w:spacing w:before="60" w:after="60"/>
            </w:pPr>
            <w:r>
              <w:t>Member aged 71, 30 years a member, sends $18,400 to a new payee for a term deposit with a better rate, while on the phone to her adviser, who said the branch might try to talk her out of it; nothing of that size in her history</w:t>
            </w:r>
          </w:p>
        </w:tc>
        <w:tc>
          <w:tcPr>
            <w:tcW w:type="dxa" w:w="1474"/>
          </w:tcPr>
          <w:p>
            <w:pPr>
              <w:spacing w:before="60" w:after="60"/>
            </w:pPr>
            <w:r>
              <w:t>Pause</w:t>
            </w:r>
          </w:p>
        </w:tc>
        <w:tc>
          <w:tcPr>
            <w:tcW w:type="dxa" w:w="2608"/>
          </w:tcPr>
          <w:p>
            <w:pPr>
              <w:spacing w:before="60" w:after="60"/>
            </w:pPr>
            <w:r>
              <w:t>All four signals</w:t>
            </w:r>
          </w:p>
        </w:tc>
      </w:tr>
      <w:tr>
        <w:trPr>
          <w:cantSplit w:val="true"/>
        </w:trPr>
        <w:tc>
          <w:tcPr>
            <w:tcW w:type="dxa" w:w="1020"/>
            <w:shd w:val="clear" w:color="auto" w:fill="F7F0FB"/>
          </w:tcPr>
          <w:p>
            <w:pPr>
              <w:spacing w:before="60" w:after="60"/>
            </w:pPr>
            <w:r>
              <w:rPr>
                <w:b/>
              </w:rPr>
              <w:t>B</w:t>
            </w:r>
          </w:p>
        </w:tc>
        <w:tc>
          <w:tcPr>
            <w:tcW w:type="dxa" w:w="4535"/>
            <w:shd w:val="clear" w:color="auto" w:fill="F7F0FB"/>
          </w:tcPr>
          <w:p>
            <w:pPr>
              <w:spacing w:before="60" w:after="60"/>
            </w:pPr>
            <w:r>
              <w:t>Member aged 34 pays $2,150 to the payee she has paid every month for two years; the rent rose after a lease renewal and she shows the notice</w:t>
            </w:r>
          </w:p>
        </w:tc>
        <w:tc>
          <w:tcPr>
            <w:tcW w:type="dxa" w:w="1474"/>
            <w:shd w:val="clear" w:color="auto" w:fill="F7F0FB"/>
          </w:tcPr>
          <w:p>
            <w:pPr>
              <w:spacing w:before="60" w:after="60"/>
            </w:pPr>
            <w:r>
              <w:t>Process</w:t>
            </w:r>
          </w:p>
        </w:tc>
        <w:tc>
          <w:tcPr>
            <w:tcW w:type="dxa" w:w="2608"/>
            <w:shd w:val="clear" w:color="auto" w:fill="F7F0FB"/>
          </w:tcPr>
          <w:p>
            <w:pPr>
              <w:spacing w:before="60" w:after="60"/>
            </w:pPr>
            <w:r>
              <w:t>A changed amount she explains</w:t>
            </w:r>
          </w:p>
        </w:tc>
      </w:tr>
      <w:tr>
        <w:trPr>
          <w:cantSplit w:val="true"/>
        </w:trPr>
        <w:tc>
          <w:tcPr>
            <w:tcW w:type="dxa" w:w="1020"/>
          </w:tcPr>
          <w:p>
            <w:pPr>
              <w:spacing w:before="60" w:after="60"/>
            </w:pPr>
            <w:r>
              <w:rPr>
                <w:b/>
              </w:rPr>
              <w:t>C</w:t>
            </w:r>
          </w:p>
        </w:tc>
        <w:tc>
          <w:tcPr>
            <w:tcW w:type="dxa" w:w="4535"/>
          </w:tcPr>
          <w:p>
            <w:pPr>
              <w:spacing w:before="60" w:after="60"/>
            </w:pPr>
            <w:r>
              <w:t>Member aged 45 sends $6,900 today to a new payee for bail money, after a text from an unknown number saying it is her son, overseas, with a new phone; no payments like it in her history</w:t>
            </w:r>
          </w:p>
        </w:tc>
        <w:tc>
          <w:tcPr>
            <w:tcW w:type="dxa" w:w="1474"/>
          </w:tcPr>
          <w:p>
            <w:pPr>
              <w:spacing w:before="60" w:after="60"/>
            </w:pPr>
            <w:r>
              <w:t>Pause</w:t>
            </w:r>
          </w:p>
        </w:tc>
        <w:tc>
          <w:tcPr>
            <w:tcW w:type="dxa" w:w="2608"/>
          </w:tcPr>
          <w:p>
            <w:pPr>
              <w:spacing w:before="60" w:after="60"/>
            </w:pPr>
            <w:r>
              <w:t>All four signals</w:t>
            </w:r>
          </w:p>
        </w:tc>
      </w:tr>
      <w:tr>
        <w:trPr>
          <w:cantSplit w:val="true"/>
        </w:trPr>
        <w:tc>
          <w:tcPr>
            <w:tcW w:type="dxa" w:w="1020"/>
            <w:shd w:val="clear" w:color="auto" w:fill="F7F0FB"/>
          </w:tcPr>
          <w:p>
            <w:pPr>
              <w:spacing w:before="60" w:after="60"/>
            </w:pPr>
            <w:r>
              <w:rPr>
                <w:b/>
              </w:rPr>
              <w:t>D</w:t>
            </w:r>
          </w:p>
        </w:tc>
        <w:tc>
          <w:tcPr>
            <w:tcW w:type="dxa" w:w="4535"/>
            <w:shd w:val="clear" w:color="auto" w:fill="F7F0FB"/>
          </w:tcPr>
          <w:p>
            <w:pPr>
              <w:spacing w:before="60" w:after="60"/>
            </w:pPr>
            <w:r>
              <w:t>Member aged 52 pays $3,000 to a new payee for a used car he inspected; the seller's bank details are on a signed sale contract; normal spending for this member; no deadline or third-party pressure</w:t>
            </w:r>
          </w:p>
        </w:tc>
        <w:tc>
          <w:tcPr>
            <w:tcW w:type="dxa" w:w="1474"/>
            <w:shd w:val="clear" w:color="auto" w:fill="F7F0FB"/>
          </w:tcPr>
          <w:p>
            <w:pPr>
              <w:spacing w:before="60" w:after="60"/>
            </w:pPr>
            <w:r>
              <w:t>Process with normal checks</w:t>
            </w:r>
          </w:p>
        </w:tc>
        <w:tc>
          <w:tcPr>
            <w:tcW w:type="dxa" w:w="2608"/>
            <w:shd w:val="clear" w:color="auto" w:fill="F7F0FB"/>
          </w:tcPr>
          <w:p>
            <w:pPr>
              <w:spacing w:before="60" w:after="60"/>
            </w:pPr>
            <w:r>
              <w:t>One signal is not enough</w:t>
            </w:r>
          </w:p>
        </w:tc>
      </w:tr>
    </w:tbl>
    <w:p>
      <w:pPr>
        <w:keepNext/>
        <w:spacing w:before="240" w:after="80"/>
      </w:pPr>
      <w:r>
        <w:rPr>
          <w:b/>
          <w:color w:val="5D008F"/>
          <w:sz w:val="28"/>
        </w:rPr>
        <w:t>Worked example, step 3: the hint ladder and feedback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020"/>
            <w:shd w:val="clear" w:color="auto" w:fill="5D008F"/>
          </w:tcPr>
          <w:p>
            <w:pPr>
              <w:spacing w:before="60" w:after="60"/>
            </w:pPr>
            <w:r/>
            <w:r>
              <w:rPr>
                <w:b/>
                <w:color w:val="FFFFFF"/>
              </w:rPr>
              <w:t>Hint</w:t>
            </w:r>
          </w:p>
        </w:tc>
        <w:tc>
          <w:tcPr>
            <w:tcW w:type="dxa" w:w="4932"/>
            <w:shd w:val="clear" w:color="auto" w:fill="5D008F"/>
          </w:tcPr>
          <w:p>
            <w:pPr>
              <w:spacing w:before="60" w:after="60"/>
            </w:pPr>
            <w:r/>
            <w:r>
              <w:rPr>
                <w:b/>
                <w:color w:val="FFFFFF"/>
              </w:rPr>
              <w:t>Wording</w:t>
            </w:r>
          </w:p>
        </w:tc>
        <w:tc>
          <w:tcPr>
            <w:tcW w:type="dxa" w:w="3685"/>
            <w:shd w:val="clear" w:color="auto" w:fill="5D008F"/>
          </w:tcPr>
          <w:p>
            <w:pPr>
              <w:spacing w:before="60" w:after="60"/>
            </w:pPr>
            <w:r/>
            <w:r>
              <w:rPr>
                <w:b/>
                <w:color w:val="FFFFFF"/>
              </w:rPr>
              <w:t>What it points at</w:t>
            </w:r>
          </w:p>
        </w:tc>
      </w:tr>
      <w:tr>
        <w:trPr>
          <w:cantSplit w:val="true"/>
        </w:trPr>
        <w:tc>
          <w:tcPr>
            <w:tcW w:type="dxa" w:w="1020"/>
          </w:tcPr>
          <w:p>
            <w:pPr>
              <w:spacing w:before="60" w:after="60"/>
            </w:pPr>
            <w:r>
              <w:rPr>
                <w:b/>
              </w:rPr>
              <w:t>1</w:t>
            </w:r>
          </w:p>
        </w:tc>
        <w:tc>
          <w:tcPr>
            <w:tcW w:type="dxa" w:w="4932"/>
          </w:tcPr>
          <w:p>
            <w:pPr>
              <w:spacing w:before="60" w:after="60"/>
            </w:pPr>
            <w:r>
              <w:t>Compare each request with what you know about the member's usual payments</w:t>
            </w:r>
          </w:p>
        </w:tc>
        <w:tc>
          <w:tcPr>
            <w:tcW w:type="dxa" w:w="3685"/>
          </w:tcPr>
          <w:p>
            <w:pPr>
              <w:spacing w:before="60" w:after="60"/>
            </w:pPr>
            <w:r>
              <w:t>New payees and unusual amounts</w:t>
            </w:r>
          </w:p>
        </w:tc>
      </w:tr>
      <w:tr>
        <w:trPr>
          <w:cantSplit w:val="true"/>
        </w:trPr>
        <w:tc>
          <w:tcPr>
            <w:tcW w:type="dxa" w:w="1020"/>
            <w:shd w:val="clear" w:color="auto" w:fill="F7F0FB"/>
          </w:tcPr>
          <w:p>
            <w:pPr>
              <w:spacing w:before="60" w:after="60"/>
            </w:pPr>
            <w:r>
              <w:rPr>
                <w:b/>
              </w:rPr>
              <w:t>2</w:t>
            </w:r>
          </w:p>
        </w:tc>
        <w:tc>
          <w:tcPr>
            <w:tcW w:type="dxa" w:w="4932"/>
            <w:shd w:val="clear" w:color="auto" w:fill="F7F0FB"/>
          </w:tcPr>
          <w:p>
            <w:pPr>
              <w:spacing w:before="60" w:after="60"/>
            </w:pPr>
            <w:r>
              <w:t>Look at who is asking for the payment, and how much time the member is being given</w:t>
            </w:r>
          </w:p>
        </w:tc>
        <w:tc>
          <w:tcPr>
            <w:tcW w:type="dxa" w:w="3685"/>
            <w:shd w:val="clear" w:color="auto" w:fill="F7F0FB"/>
          </w:tcPr>
          <w:p>
            <w:pPr>
              <w:spacing w:before="60" w:after="60"/>
            </w:pPr>
            <w:r>
              <w:t>Third parties and urgency</w:t>
            </w:r>
          </w:p>
        </w:tc>
      </w:tr>
      <w:tr>
        <w:trPr>
          <w:cantSplit w:val="true"/>
        </w:trPr>
        <w:tc>
          <w:tcPr>
            <w:tcW w:type="dxa" w:w="1020"/>
          </w:tcPr>
          <w:p>
            <w:pPr>
              <w:spacing w:before="60" w:after="60"/>
            </w:pPr>
            <w:r>
              <w:rPr>
                <w:b/>
              </w:rPr>
              <w:t>3</w:t>
            </w:r>
          </w:p>
        </w:tc>
        <w:tc>
          <w:tcPr>
            <w:tcW w:type="dxa" w:w="4932"/>
          </w:tcPr>
          <w:p>
            <w:pPr>
              <w:spacing w:before="60" w:after="60"/>
            </w:pPr>
            <w:r>
              <w:t>Requests A and C share several things that B and D do not. What are they?</w:t>
            </w:r>
          </w:p>
        </w:tc>
        <w:tc>
          <w:tcPr>
            <w:tcW w:type="dxa" w:w="3685"/>
          </w:tcPr>
          <w:p>
            <w:pPr>
              <w:spacing w:before="60" w:after="60"/>
            </w:pPr>
            <w:r>
              <w:t>The combination of signals</w:t>
            </w:r>
          </w:p>
        </w:tc>
      </w:tr>
    </w:tbl>
    <w:p>
      <w:pPr>
        <w:spacing w:before="160"/>
      </w:pPr>
      <w:r>
        <w:t>How hints open: one at a time, when the learner chooses, after they have written a first answer.</w:t>
      </w:r>
    </w:p>
    <w:p>
      <w:pPr>
        <w:spacing w:before="160"/>
      </w:pPr>
      <w:r>
        <w:t>Feedback on each request, after the attempt, names what the learner should have noticed. For example: "Request A: the member is paying a new payee an amount unlike her history, the adviser on the phone told her the branch might try to talk her out of it, and the adviser is directing the payment. Four signals, so pause."</w:t>
      </w:r>
    </w:p>
    <w:p>
      <w:pPr>
        <w:keepNext/>
        <w:pageBreakBefore/>
        <w:spacing w:before="240" w:after="80"/>
      </w:pPr>
      <w:r>
        <w:rPr>
          <w:b/>
          <w:color w:val="5D008F"/>
          <w:sz w:val="28"/>
        </w:rPr>
        <w:t>Worked example, step 4: the teaching and the transfer case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835"/>
            <w:shd w:val="clear" w:color="auto" w:fill="5D008F"/>
          </w:tcPr>
          <w:p>
            <w:pPr>
              <w:spacing w:before="60" w:after="60"/>
            </w:pPr>
            <w:r/>
            <w:r>
              <w:rPr>
                <w:b/>
                <w:color w:val="FFFFFF"/>
              </w:rPr>
              <w:t>Part</w:t>
            </w:r>
          </w:p>
        </w:tc>
        <w:tc>
          <w:tcPr>
            <w:tcW w:type="dxa" w:w="6803"/>
            <w:shd w:val="clear" w:color="auto" w:fill="5D008F"/>
          </w:tcPr>
          <w:p>
            <w:pPr>
              <w:spacing w:before="60" w:after="60"/>
            </w:pPr>
            <w:r/>
            <w:r>
              <w:rPr>
                <w:b/>
                <w:color w:val="FFFFFF"/>
              </w:rPr>
              <w:t>Credit union course</w:t>
            </w:r>
          </w:p>
        </w:tc>
      </w:tr>
      <w:tr>
        <w:trPr>
          <w:cantSplit w:val="true"/>
        </w:trPr>
        <w:tc>
          <w:tcPr>
            <w:tcW w:type="dxa" w:w="2835"/>
          </w:tcPr>
          <w:p>
            <w:pPr>
              <w:spacing w:before="60" w:after="60"/>
            </w:pPr>
            <w:r>
              <w:rPr>
                <w:b/>
              </w:rPr>
              <w:t>Learners state the pattern</w:t>
            </w:r>
          </w:p>
        </w:tc>
        <w:tc>
          <w:tcPr>
            <w:tcW w:type="dxa" w:w="6803"/>
          </w:tcPr>
          <w:p>
            <w:pPr>
              <w:spacing w:before="60" w:after="60"/>
            </w:pPr>
            <w:r>
              <w:t>Before any teaching, officers write in their own words what separates the requests to pause from the ones to process</w:t>
            </w:r>
          </w:p>
        </w:tc>
      </w:tr>
      <w:tr>
        <w:trPr>
          <w:cantSplit w:val="true"/>
        </w:trPr>
        <w:tc>
          <w:tcPr>
            <w:tcW w:type="dxa" w:w="2835"/>
            <w:shd w:val="clear" w:color="auto" w:fill="F7F0FB"/>
          </w:tcPr>
          <w:p>
            <w:pPr>
              <w:spacing w:before="60" w:after="60"/>
            </w:pPr>
            <w:r>
              <w:rPr>
                <w:b/>
              </w:rPr>
              <w:t>Where the explicit teaching lands</w:t>
            </w:r>
          </w:p>
        </w:tc>
        <w:tc>
          <w:tcPr>
            <w:tcW w:type="dxa" w:w="6803"/>
            <w:shd w:val="clear" w:color="auto" w:fill="F7F0FB"/>
          </w:tcPr>
          <w:p>
            <w:pPr>
              <w:spacing w:before="60" w:after="60"/>
            </w:pPr>
            <w:r>
              <w:t>Straight after, in "The pattern": the four signals and the two-or-more rule, taught using A to D, with officers comparing the rule with what they wrote</w:t>
            </w:r>
          </w:p>
        </w:tc>
      </w:tr>
      <w:tr>
        <w:trPr>
          <w:cantSplit w:val="true"/>
        </w:trPr>
        <w:tc>
          <w:tcPr>
            <w:tcW w:type="dxa" w:w="2835"/>
          </w:tcPr>
          <w:p>
            <w:pPr>
              <w:spacing w:before="60" w:after="60"/>
            </w:pPr>
            <w:r>
              <w:rPr>
                <w:b/>
              </w:rPr>
              <w:t>What is taught directly</w:t>
            </w:r>
          </w:p>
        </w:tc>
        <w:tc>
          <w:tcPr>
            <w:tcW w:type="dxa" w:w="6803"/>
          </w:tcPr>
          <w:p>
            <w:pPr>
              <w:spacing w:before="60" w:after="60"/>
            </w:pPr>
            <w:r>
              <w:t>"What the credit union requires": supplier bank changes must be independently verified using a number already on file, plus the pause procedure, then a scenario where the member in Request A says her adviser is still on the line, with three options and their consequences</w:t>
            </w:r>
          </w:p>
        </w:tc>
      </w:tr>
      <w:tr>
        <w:trPr>
          <w:cantSplit w:val="true"/>
        </w:trPr>
        <w:tc>
          <w:tcPr>
            <w:tcW w:type="dxa" w:w="2835"/>
            <w:shd w:val="clear" w:color="auto" w:fill="F7F0FB"/>
          </w:tcPr>
          <w:p>
            <w:pPr>
              <w:spacing w:before="60" w:after="60"/>
            </w:pPr>
            <w:r>
              <w:rPr>
                <w:b/>
              </w:rPr>
              <w:t>Transfer case</w:t>
            </w:r>
          </w:p>
        </w:tc>
        <w:tc>
          <w:tcPr>
            <w:tcW w:type="dxa" w:w="6803"/>
            <w:shd w:val="clear" w:color="auto" w:fill="F7F0FB"/>
          </w:tcPr>
          <w:p>
            <w:pPr>
              <w:spacing w:before="60" w:after="60"/>
            </w:pPr>
            <w:r>
              <w:t>A landscaping business asks to pay a regular supplier's $12,480 invoice to new bank details sent by email, to be updated before Friday. No hints first. Right call under the separately taught bank-change rule: pause and verify using the supplier number on file</w:t>
            </w:r>
          </w:p>
        </w:tc>
      </w:tr>
      <w:tr>
        <w:trPr>
          <w:cantSplit w:val="true"/>
        </w:trPr>
        <w:tc>
          <w:tcPr>
            <w:tcW w:type="dxa" w:w="2835"/>
          </w:tcPr>
          <w:p>
            <w:pPr>
              <w:spacing w:before="60" w:after="60"/>
            </w:pPr>
            <w:r>
              <w:rPr>
                <w:b/>
              </w:rPr>
              <w:t>How you will check</w:t>
            </w:r>
          </w:p>
        </w:tc>
        <w:tc>
          <w:tcPr>
            <w:tcW w:type="dxa" w:w="6803"/>
          </w:tcPr>
          <w:p>
            <w:pPr>
              <w:spacing w:before="60" w:after="60"/>
            </w:pPr>
            <w:r>
              <w:t>Open-text answers in the cases, the pattern and the transfer case. Later review sampled processed and paused payments for missed signals and procedure use; referrals alone miss undetected cases</w:t>
            </w:r>
          </w:p>
        </w:tc>
      </w:tr>
    </w:tbl>
    <w:p>
      <w:pPr>
        <w:keepNext/>
        <w:spacing w:before="240" w:after="80"/>
      </w:pPr>
      <w:r>
        <w:rPr>
          <w:b/>
          <w:color w:val="5D008F"/>
          <w:sz w:val="28"/>
        </w:rPr>
        <w:t>Quality check before you build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7654"/>
            <w:shd w:val="clear" w:color="auto" w:fill="5D008F"/>
          </w:tcPr>
          <w:p>
            <w:pPr>
              <w:spacing w:before="60" w:after="60"/>
            </w:pPr>
            <w:r/>
            <w:r>
              <w:rPr>
                <w:b/>
                <w:color w:val="FFFFFF"/>
              </w:rPr>
              <w:t>Check</w:t>
            </w:r>
          </w:p>
        </w:tc>
        <w:tc>
          <w:tcPr>
            <w:tcW w:type="dxa" w:w="1984"/>
            <w:shd w:val="clear" w:color="auto" w:fill="5D008F"/>
          </w:tcPr>
          <w:p>
            <w:pPr>
              <w:spacing w:before="60" w:after="60"/>
            </w:pPr>
            <w:r/>
            <w:r>
              <w:rPr>
                <w:b/>
                <w:color w:val="FFFFFF"/>
              </w:rPr>
              <w:t>Yes or no</w:t>
            </w:r>
          </w:p>
        </w:tc>
      </w:tr>
      <w:tr>
        <w:trPr>
          <w:cantSplit w:val="true"/>
          <w:trHeight w:val="510"/>
        </w:trPr>
        <w:tc>
          <w:tcPr>
            <w:tcW w:type="dxa" w:w="7654"/>
          </w:tcPr>
          <w:p>
            <w:pPr>
              <w:spacing w:before="60" w:after="60"/>
            </w:pPr>
            <w:r>
              <w:rPr>
                <w:b/>
              </w:rPr>
              <w:t>No page before the explicit teaching states the rule or lists the warning signs</w:t>
            </w:r>
          </w:p>
        </w:tc>
        <w:tc>
          <w:tcPr>
            <w:tcW w:type="dxa" w:w="1984"/>
          </w:tcPr>
          <w:p>
            <w:pPr>
              <w:spacing w:before="60" w:after="60"/>
            </w:pPr>
            <w:r/>
          </w:p>
        </w:tc>
      </w:tr>
      <w:tr>
        <w:trPr>
          <w:cantSplit w:val="true"/>
          <w:trHeight w:val="510"/>
        </w:trPr>
        <w:tc>
          <w:tcPr>
            <w:tcW w:type="dxa" w:w="7654"/>
            <w:shd w:val="clear" w:color="auto" w:fill="F7F0FB"/>
          </w:tcPr>
          <w:p>
            <w:pPr>
              <w:spacing w:before="60" w:after="60"/>
            </w:pPr>
            <w:r>
              <w:rPr>
                <w:b/>
              </w:rPr>
              <w:t>Learners have every fact the decision needs in the case files</w:t>
            </w:r>
          </w:p>
        </w:tc>
        <w:tc>
          <w:tcPr>
            <w:tcW w:type="dxa" w:w="1984"/>
            <w:shd w:val="clear" w:color="auto" w:fill="F7F0FB"/>
          </w:tcPr>
          <w:p>
            <w:pPr>
              <w:spacing w:before="60" w:after="60"/>
            </w:pPr>
            <w:r/>
          </w:p>
        </w:tc>
      </w:tr>
      <w:tr>
        <w:trPr>
          <w:cantSplit w:val="true"/>
          <w:trHeight w:val="510"/>
        </w:trPr>
        <w:tc>
          <w:tcPr>
            <w:tcW w:type="dxa" w:w="7654"/>
          </w:tcPr>
          <w:p>
            <w:pPr>
              <w:spacing w:before="60" w:after="60"/>
            </w:pPr>
            <w:r>
              <w:rPr>
                <w:b/>
              </w:rPr>
              <w:t>At least one case should not trigger the rule</w:t>
            </w:r>
          </w:p>
        </w:tc>
        <w:tc>
          <w:tcPr>
            <w:tcW w:type="dxa" w:w="1984"/>
          </w:tcPr>
          <w:p>
            <w:pPr>
              <w:spacing w:before="60" w:after="60"/>
            </w:pPr>
            <w:r/>
          </w:p>
        </w:tc>
      </w:tr>
      <w:tr>
        <w:trPr>
          <w:cantSplit w:val="true"/>
          <w:trHeight w:val="510"/>
        </w:trPr>
        <w:tc>
          <w:tcPr>
            <w:tcW w:type="dxa" w:w="7654"/>
            <w:shd w:val="clear" w:color="auto" w:fill="F7F0FB"/>
          </w:tcPr>
          <w:p>
            <w:pPr>
              <w:spacing w:before="60" w:after="60"/>
            </w:pPr>
            <w:r>
              <w:rPr>
                <w:b/>
              </w:rPr>
              <w:t>Hint 1 says where to look and does not name the answer</w:t>
            </w:r>
          </w:p>
        </w:tc>
        <w:tc>
          <w:tcPr>
            <w:tcW w:type="dxa" w:w="1984"/>
            <w:shd w:val="clear" w:color="auto" w:fill="F7F0FB"/>
          </w:tcPr>
          <w:p>
            <w:pPr>
              <w:spacing w:before="60" w:after="60"/>
            </w:pPr>
            <w:r/>
          </w:p>
        </w:tc>
      </w:tr>
      <w:tr>
        <w:trPr>
          <w:cantSplit w:val="true"/>
          <w:trHeight w:val="510"/>
        </w:trPr>
        <w:tc>
          <w:tcPr>
            <w:tcW w:type="dxa" w:w="7654"/>
          </w:tcPr>
          <w:p>
            <w:pPr>
              <w:spacing w:before="60" w:after="60"/>
            </w:pPr>
            <w:r>
              <w:rPr>
                <w:b/>
              </w:rPr>
              <w:t>Hints open one at a time, after a first answer</w:t>
            </w:r>
          </w:p>
        </w:tc>
        <w:tc>
          <w:tcPr>
            <w:tcW w:type="dxa" w:w="1984"/>
          </w:tcPr>
          <w:p>
            <w:pPr>
              <w:spacing w:before="60" w:after="60"/>
            </w:pPr>
            <w:r/>
          </w:p>
        </w:tc>
      </w:tr>
      <w:tr>
        <w:trPr>
          <w:cantSplit w:val="true"/>
          <w:trHeight w:val="510"/>
        </w:trPr>
        <w:tc>
          <w:tcPr>
            <w:tcW w:type="dxa" w:w="7654"/>
            <w:shd w:val="clear" w:color="auto" w:fill="F7F0FB"/>
          </w:tcPr>
          <w:p>
            <w:pPr>
              <w:spacing w:before="60" w:after="60"/>
            </w:pPr>
            <w:r>
              <w:rPr>
                <w:b/>
              </w:rPr>
              <w:t>Learners explain their decision, not only choose</w:t>
            </w:r>
          </w:p>
        </w:tc>
        <w:tc>
          <w:tcPr>
            <w:tcW w:type="dxa" w:w="1984"/>
            <w:shd w:val="clear" w:color="auto" w:fill="F7F0FB"/>
          </w:tcPr>
          <w:p>
            <w:pPr>
              <w:spacing w:before="60" w:after="60"/>
            </w:pPr>
            <w:r/>
          </w:p>
        </w:tc>
      </w:tr>
      <w:tr>
        <w:trPr>
          <w:cantSplit w:val="true"/>
          <w:trHeight w:val="510"/>
        </w:trPr>
        <w:tc>
          <w:tcPr>
            <w:tcW w:type="dxa" w:w="7654"/>
          </w:tcPr>
          <w:p>
            <w:pPr>
              <w:spacing w:before="60" w:after="60"/>
            </w:pPr>
            <w:r>
              <w:rPr>
                <w:b/>
              </w:rPr>
              <w:t>Feedback names what to notice in each case, not only right or wrong</w:t>
            </w:r>
          </w:p>
        </w:tc>
        <w:tc>
          <w:tcPr>
            <w:tcW w:type="dxa" w:w="1984"/>
          </w:tcPr>
          <w:p>
            <w:pPr>
              <w:spacing w:before="60" w:after="60"/>
            </w:pPr>
            <w:r/>
          </w:p>
        </w:tc>
      </w:tr>
      <w:tr>
        <w:trPr>
          <w:cantSplit w:val="true"/>
          <w:trHeight w:val="510"/>
        </w:trPr>
        <w:tc>
          <w:tcPr>
            <w:tcW w:type="dxa" w:w="7654"/>
            <w:shd w:val="clear" w:color="auto" w:fill="F7F0FB"/>
          </w:tcPr>
          <w:p>
            <w:pPr>
              <w:spacing w:before="60" w:after="60"/>
            </w:pPr>
            <w:r>
              <w:rPr>
                <w:b/>
              </w:rPr>
              <w:t>The principle is taught explicitly and linked to learners' own answers</w:t>
            </w:r>
          </w:p>
        </w:tc>
        <w:tc>
          <w:tcPr>
            <w:tcW w:type="dxa" w:w="1984"/>
            <w:shd w:val="clear" w:color="auto" w:fill="F7F0FB"/>
          </w:tcPr>
          <w:p>
            <w:pPr>
              <w:spacing w:before="60" w:after="60"/>
            </w:pPr>
            <w:r/>
          </w:p>
        </w:tc>
      </w:tr>
      <w:tr>
        <w:trPr>
          <w:cantSplit w:val="true"/>
          <w:trHeight w:val="510"/>
        </w:trPr>
        <w:tc>
          <w:tcPr>
            <w:tcW w:type="dxa" w:w="7654"/>
          </w:tcPr>
          <w:p>
            <w:pPr>
              <w:spacing w:before="60" w:after="60"/>
            </w:pPr>
            <w:r>
              <w:rPr>
                <w:b/>
              </w:rPr>
              <w:t>Procedures, legal duties and rules no case reveals are taught directly</w:t>
            </w:r>
          </w:p>
        </w:tc>
        <w:tc>
          <w:tcPr>
            <w:tcW w:type="dxa" w:w="1984"/>
          </w:tcPr>
          <w:p>
            <w:pPr>
              <w:spacing w:before="60" w:after="60"/>
            </w:pPr>
            <w:r/>
          </w:p>
        </w:tc>
      </w:tr>
      <w:tr>
        <w:trPr>
          <w:cantSplit w:val="true"/>
          <w:trHeight w:val="510"/>
        </w:trPr>
        <w:tc>
          <w:tcPr>
            <w:tcW w:type="dxa" w:w="7654"/>
            <w:shd w:val="clear" w:color="auto" w:fill="F7F0FB"/>
          </w:tcPr>
          <w:p>
            <w:pPr>
              <w:spacing w:before="60" w:after="60"/>
            </w:pPr>
            <w:r>
              <w:rPr>
                <w:b/>
              </w:rPr>
              <w:t>The transfer case has a different surface and no hints first</w:t>
            </w:r>
          </w:p>
        </w:tc>
        <w:tc>
          <w:tcPr>
            <w:tcW w:type="dxa" w:w="1984"/>
            <w:shd w:val="clear" w:color="auto" w:fill="F7F0FB"/>
          </w:tcPr>
          <w:p>
            <w:pPr>
              <w:spacing w:before="60" w:after="60"/>
            </w:pPr>
            <w:r/>
          </w:p>
        </w:tc>
      </w:tr>
      <w:tr>
        <w:trPr>
          <w:cantSplit w:val="true"/>
          <w:trHeight w:val="510"/>
        </w:trPr>
        <w:tc>
          <w:tcPr>
            <w:tcW w:type="dxa" w:w="7654"/>
          </w:tcPr>
          <w:p>
            <w:pPr>
              <w:spacing w:before="60" w:after="60"/>
            </w:pPr>
            <w:r>
              <w:rPr>
                <w:b/>
              </w:rPr>
              <w:t>Answers reveal reasoning and have a named reviewer; format alone is not evidence of reasoning</w:t>
            </w:r>
          </w:p>
        </w:tc>
        <w:tc>
          <w:tcPr>
            <w:tcW w:type="dxa" w:w="1984"/>
          </w:tcPr>
          <w:p>
            <w:pPr>
              <w:spacing w:before="60" w:after="60"/>
            </w:pPr>
            <w:r/>
          </w:p>
        </w:tc>
      </w:tr>
    </w:tbl>
    <w:p>
      <w:pPr>
        <w:spacing w:before="160"/>
      </w:pPr>
      <w:r>
        <w:rPr>
          <w:i/>
          <w:color w:val="5A5766"/>
        </w:rPr>
        <w:t>These checks come from the guide's sources and our product test. Passing them does not show the lesson works: try it with a few learners and read their first answers.</w:t>
      </w:r>
    </w:p>
    <w:p>
      <w:pPr>
        <w:keepNext/>
        <w:pageBreakBefore/>
        <w:spacing w:before="240" w:after="80"/>
      </w:pPr>
      <w:r>
        <w:rPr>
          <w:b/>
          <w:color w:val="5D008F"/>
          <w:sz w:val="28"/>
        </w:rPr>
        <w:t>Your guided discovery lesson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118"/>
            <w:shd w:val="clear" w:color="auto" w:fill="5D008F"/>
          </w:tcPr>
          <w:p>
            <w:pPr>
              <w:spacing w:before="60" w:after="60"/>
            </w:pPr>
            <w:r/>
            <w:r>
              <w:rPr>
                <w:b/>
                <w:color w:val="FFFFFF"/>
              </w:rPr>
              <w:t>Question</w:t>
            </w:r>
          </w:p>
        </w:tc>
        <w:tc>
          <w:tcPr>
            <w:tcW w:type="dxa" w:w="6520"/>
            <w:shd w:val="clear" w:color="auto" w:fill="5D008F"/>
          </w:tcPr>
          <w:p>
            <w:pPr>
              <w:spacing w:before="60" w:after="60"/>
            </w:pPr>
            <w:r/>
            <w:r>
              <w:rPr>
                <w:b/>
                <w:color w:val="FFFFFF"/>
              </w:rPr>
              <w:t>Your lesson</w:t>
            </w:r>
          </w:p>
        </w:tc>
      </w:tr>
      <w:tr>
        <w:trPr>
          <w:cantSplit w:val="true"/>
          <w:trHeight w:val="907"/>
        </w:trPr>
        <w:tc>
          <w:tcPr>
            <w:tcW w:type="dxa" w:w="3118"/>
          </w:tcPr>
          <w:p>
            <w:pPr>
              <w:spacing w:before="60" w:after="60"/>
            </w:pPr>
            <w:r>
              <w:rPr>
                <w:b/>
              </w:rPr>
              <w:t>Principle learners will work out</w:t>
            </w:r>
          </w:p>
        </w:tc>
        <w:tc>
          <w:tcPr>
            <w:tcW w:type="dxa" w:w="6520"/>
          </w:tcPr>
          <w:p>
            <w:pPr>
              <w:spacing w:before="60" w:after="60"/>
            </w:pPr>
            <w:r/>
          </w:p>
        </w:tc>
      </w:tr>
      <w:tr>
        <w:trPr>
          <w:cantSplit w:val="true"/>
          <w:trHeight w:val="907"/>
        </w:trPr>
        <w:tc>
          <w:tcPr>
            <w:tcW w:type="dxa" w:w="3118"/>
            <w:shd w:val="clear" w:color="auto" w:fill="F7F0FB"/>
          </w:tcPr>
          <w:p>
            <w:pPr>
              <w:spacing w:before="60" w:after="60"/>
            </w:pPr>
            <w:r>
              <w:rPr>
                <w:b/>
              </w:rPr>
              <w:t>What is told, not discovered</w:t>
            </w:r>
          </w:p>
        </w:tc>
        <w:tc>
          <w:tcPr>
            <w:tcW w:type="dxa" w:w="6520"/>
            <w:shd w:val="clear" w:color="auto" w:fill="F7F0FB"/>
          </w:tcPr>
          <w:p>
            <w:pPr>
              <w:spacing w:before="60" w:after="60"/>
            </w:pPr>
            <w:r/>
          </w:p>
        </w:tc>
      </w:tr>
      <w:tr>
        <w:trPr>
          <w:cantSplit w:val="true"/>
          <w:trHeight w:val="907"/>
        </w:trPr>
        <w:tc>
          <w:tcPr>
            <w:tcW w:type="dxa" w:w="3118"/>
          </w:tcPr>
          <w:p>
            <w:pPr>
              <w:spacing w:before="60" w:after="60"/>
            </w:pPr>
            <w:r>
              <w:rPr>
                <w:b/>
              </w:rPr>
              <w:t>Who the learners are</w:t>
            </w:r>
          </w:p>
        </w:tc>
        <w:tc>
          <w:tcPr>
            <w:tcW w:type="dxa" w:w="6520"/>
          </w:tcPr>
          <w:p>
            <w:pPr>
              <w:spacing w:before="60" w:after="60"/>
            </w:pPr>
            <w:r/>
          </w:p>
        </w:tc>
      </w:tr>
      <w:tr>
        <w:trPr>
          <w:cantSplit w:val="true"/>
          <w:trHeight w:val="907"/>
        </w:trPr>
        <w:tc>
          <w:tcPr>
            <w:tcW w:type="dxa" w:w="3118"/>
            <w:shd w:val="clear" w:color="auto" w:fill="F7F0FB"/>
          </w:tcPr>
          <w:p>
            <w:pPr>
              <w:spacing w:before="60" w:after="60"/>
            </w:pPr>
            <w:r>
              <w:rPr>
                <w:b/>
              </w:rPr>
              <w:t>What they already know</w:t>
            </w:r>
          </w:p>
        </w:tc>
        <w:tc>
          <w:tcPr>
            <w:tcW w:type="dxa" w:w="6520"/>
            <w:shd w:val="clear" w:color="auto" w:fill="F7F0FB"/>
          </w:tcPr>
          <w:p>
            <w:pPr>
              <w:spacing w:before="60" w:after="60"/>
            </w:pPr>
            <w:r/>
          </w:p>
        </w:tc>
      </w:tr>
      <w:tr>
        <w:trPr>
          <w:cantSplit w:val="true"/>
          <w:trHeight w:val="907"/>
        </w:trPr>
        <w:tc>
          <w:tcPr>
            <w:tcW w:type="dxa" w:w="3118"/>
          </w:tcPr>
          <w:p>
            <w:pPr>
              <w:spacing w:before="60" w:after="60"/>
            </w:pPr>
            <w:r>
              <w:rPr>
                <w:b/>
              </w:rPr>
              <w:t>The problem now</w:t>
            </w:r>
          </w:p>
        </w:tc>
        <w:tc>
          <w:tcPr>
            <w:tcW w:type="dxa" w:w="6520"/>
          </w:tcPr>
          <w:p>
            <w:pPr>
              <w:spacing w:before="60" w:after="60"/>
            </w:pPr>
            <w:r/>
          </w:p>
        </w:tc>
      </w:tr>
      <w:tr>
        <w:trPr>
          <w:cantSplit w:val="true"/>
          <w:trHeight w:val="907"/>
        </w:trPr>
        <w:tc>
          <w:tcPr>
            <w:tcW w:type="dxa" w:w="3118"/>
            <w:shd w:val="clear" w:color="auto" w:fill="F7F0FB"/>
          </w:tcPr>
          <w:p>
            <w:pPr>
              <w:spacing w:before="60" w:after="60"/>
            </w:pPr>
            <w:r>
              <w:rPr>
                <w:b/>
              </w:rPr>
              <w:t>Intended outcome</w:t>
            </w:r>
          </w:p>
        </w:tc>
        <w:tc>
          <w:tcPr>
            <w:tcW w:type="dxa" w:w="6520"/>
            <w:shd w:val="clear" w:color="auto" w:fill="F7F0FB"/>
          </w:tcPr>
          <w:p>
            <w:pPr>
              <w:spacing w:before="60" w:after="60"/>
            </w:pPr>
            <w:r/>
          </w:p>
        </w:tc>
      </w:tr>
    </w:tbl>
    <w:p>
      <w:pPr>
        <w:keepNext/>
        <w:spacing w:before="240" w:after="80"/>
      </w:pPr>
      <w:r>
        <w:rPr>
          <w:b/>
          <w:color w:val="5D008F"/>
          <w:sz w:val="28"/>
        </w:rPr>
        <w:t>Your cases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020"/>
            <w:shd w:val="clear" w:color="auto" w:fill="5D008F"/>
          </w:tcPr>
          <w:p>
            <w:pPr>
              <w:spacing w:before="60" w:after="60"/>
            </w:pPr>
            <w:r/>
            <w:r>
              <w:rPr>
                <w:b/>
                <w:color w:val="FFFFFF"/>
              </w:rPr>
              <w:t>Case</w:t>
            </w:r>
          </w:p>
        </w:tc>
        <w:tc>
          <w:tcPr>
            <w:tcW w:type="dxa" w:w="4535"/>
            <w:shd w:val="clear" w:color="auto" w:fill="5D008F"/>
          </w:tcPr>
          <w:p>
            <w:pPr>
              <w:spacing w:before="60" w:after="60"/>
            </w:pPr>
            <w:r/>
            <w:r>
              <w:rPr>
                <w:b/>
                <w:color w:val="FFFFFF"/>
              </w:rPr>
              <w:t>Facts learners get</w:t>
            </w:r>
          </w:p>
        </w:tc>
        <w:tc>
          <w:tcPr>
            <w:tcW w:type="dxa" w:w="1474"/>
            <w:shd w:val="clear" w:color="auto" w:fill="5D008F"/>
          </w:tcPr>
          <w:p>
            <w:pPr>
              <w:spacing w:before="60" w:after="60"/>
            </w:pPr>
            <w:r/>
            <w:r>
              <w:rPr>
                <w:b/>
                <w:color w:val="FFFFFF"/>
              </w:rPr>
              <w:t>Right call</w:t>
            </w:r>
          </w:p>
        </w:tc>
        <w:tc>
          <w:tcPr>
            <w:tcW w:type="dxa" w:w="2608"/>
            <w:shd w:val="clear" w:color="auto" w:fill="5D008F"/>
          </w:tcPr>
          <w:p>
            <w:pPr>
              <w:spacing w:before="60" w:after="60"/>
            </w:pPr>
            <w:r/>
            <w:r>
              <w:rPr>
                <w:b/>
                <w:color w:val="FFFFFF"/>
              </w:rPr>
              <w:t>What it shows</w:t>
            </w:r>
          </w:p>
        </w:tc>
      </w:tr>
      <w:tr>
        <w:trPr>
          <w:cantSplit w:val="true"/>
          <w:trHeight w:val="1247"/>
        </w:trPr>
        <w:tc>
          <w:tcPr>
            <w:tcW w:type="dxa" w:w="1020"/>
          </w:tcPr>
          <w:p>
            <w:pPr>
              <w:spacing w:before="60" w:after="60"/>
            </w:pPr>
            <w:r>
              <w:rPr>
                <w:b/>
              </w:rPr>
              <w:t>A</w:t>
            </w:r>
          </w:p>
        </w:tc>
        <w:tc>
          <w:tcPr>
            <w:tcW w:type="dxa" w:w="4535"/>
          </w:tcPr>
          <w:p>
            <w:pPr>
              <w:spacing w:before="60" w:after="60"/>
            </w:pPr>
            <w:r/>
          </w:p>
        </w:tc>
        <w:tc>
          <w:tcPr>
            <w:tcW w:type="dxa" w:w="1474"/>
          </w:tcPr>
          <w:p>
            <w:pPr>
              <w:spacing w:before="60" w:after="60"/>
            </w:pPr>
            <w:r/>
          </w:p>
        </w:tc>
        <w:tc>
          <w:tcPr>
            <w:tcW w:type="dxa" w:w="2608"/>
          </w:tcPr>
          <w:p>
            <w:pPr>
              <w:spacing w:before="60" w:after="60"/>
            </w:pPr>
            <w:r/>
          </w:p>
        </w:tc>
      </w:tr>
      <w:tr>
        <w:trPr>
          <w:cantSplit w:val="true"/>
          <w:trHeight w:val="1247"/>
        </w:trPr>
        <w:tc>
          <w:tcPr>
            <w:tcW w:type="dxa" w:w="1020"/>
            <w:shd w:val="clear" w:color="auto" w:fill="F7F0FB"/>
          </w:tcPr>
          <w:p>
            <w:pPr>
              <w:spacing w:before="60" w:after="60"/>
            </w:pPr>
            <w:r>
              <w:rPr>
                <w:b/>
              </w:rPr>
              <w:t>B</w:t>
            </w:r>
          </w:p>
        </w:tc>
        <w:tc>
          <w:tcPr>
            <w:tcW w:type="dxa" w:w="4535"/>
            <w:shd w:val="clear" w:color="auto" w:fill="F7F0FB"/>
          </w:tcPr>
          <w:p>
            <w:pPr>
              <w:spacing w:before="60" w:after="60"/>
            </w:pPr>
            <w:r/>
          </w:p>
        </w:tc>
        <w:tc>
          <w:tcPr>
            <w:tcW w:type="dxa" w:w="1474"/>
            <w:shd w:val="clear" w:color="auto" w:fill="F7F0FB"/>
          </w:tcPr>
          <w:p>
            <w:pPr>
              <w:spacing w:before="60" w:after="60"/>
            </w:pPr>
            <w:r/>
          </w:p>
        </w:tc>
        <w:tc>
          <w:tcPr>
            <w:tcW w:type="dxa" w:w="2608"/>
            <w:shd w:val="clear" w:color="auto" w:fill="F7F0FB"/>
          </w:tcPr>
          <w:p>
            <w:pPr>
              <w:spacing w:before="60" w:after="60"/>
            </w:pPr>
            <w:r/>
          </w:p>
        </w:tc>
      </w:tr>
      <w:tr>
        <w:trPr>
          <w:cantSplit w:val="true"/>
          <w:trHeight w:val="1247"/>
        </w:trPr>
        <w:tc>
          <w:tcPr>
            <w:tcW w:type="dxa" w:w="1020"/>
          </w:tcPr>
          <w:p>
            <w:pPr>
              <w:spacing w:before="60" w:after="60"/>
            </w:pPr>
            <w:r>
              <w:rPr>
                <w:b/>
              </w:rPr>
              <w:t>C</w:t>
            </w:r>
          </w:p>
        </w:tc>
        <w:tc>
          <w:tcPr>
            <w:tcW w:type="dxa" w:w="4535"/>
          </w:tcPr>
          <w:p>
            <w:pPr>
              <w:spacing w:before="60" w:after="60"/>
            </w:pPr>
            <w:r/>
          </w:p>
        </w:tc>
        <w:tc>
          <w:tcPr>
            <w:tcW w:type="dxa" w:w="1474"/>
          </w:tcPr>
          <w:p>
            <w:pPr>
              <w:spacing w:before="60" w:after="60"/>
            </w:pPr>
            <w:r/>
          </w:p>
        </w:tc>
        <w:tc>
          <w:tcPr>
            <w:tcW w:type="dxa" w:w="2608"/>
          </w:tcPr>
          <w:p>
            <w:pPr>
              <w:spacing w:before="60" w:after="60"/>
            </w:pPr>
            <w:r/>
          </w:p>
        </w:tc>
      </w:tr>
      <w:tr>
        <w:trPr>
          <w:cantSplit w:val="true"/>
          <w:trHeight w:val="1247"/>
        </w:trPr>
        <w:tc>
          <w:tcPr>
            <w:tcW w:type="dxa" w:w="1020"/>
            <w:shd w:val="clear" w:color="auto" w:fill="F7F0FB"/>
          </w:tcPr>
          <w:p>
            <w:pPr>
              <w:spacing w:before="60" w:after="60"/>
            </w:pPr>
            <w:r>
              <w:rPr>
                <w:b/>
              </w:rPr>
              <w:t>D</w:t>
            </w:r>
          </w:p>
        </w:tc>
        <w:tc>
          <w:tcPr>
            <w:tcW w:type="dxa" w:w="4535"/>
            <w:shd w:val="clear" w:color="auto" w:fill="F7F0FB"/>
          </w:tcPr>
          <w:p>
            <w:pPr>
              <w:spacing w:before="60" w:after="60"/>
            </w:pPr>
            <w:r/>
          </w:p>
        </w:tc>
        <w:tc>
          <w:tcPr>
            <w:tcW w:type="dxa" w:w="1474"/>
            <w:shd w:val="clear" w:color="auto" w:fill="F7F0FB"/>
          </w:tcPr>
          <w:p>
            <w:pPr>
              <w:spacing w:before="60" w:after="60"/>
            </w:pPr>
            <w:r/>
          </w:p>
        </w:tc>
        <w:tc>
          <w:tcPr>
            <w:tcW w:type="dxa" w:w="2608"/>
            <w:shd w:val="clear" w:color="auto" w:fill="F7F0FB"/>
          </w:tcPr>
          <w:p>
            <w:pPr>
              <w:spacing w:before="60" w:after="60"/>
            </w:pPr>
            <w:r/>
          </w:p>
        </w:tc>
      </w:tr>
    </w:tbl>
    <w:p>
      <w:pPr>
        <w:spacing w:before="160"/>
      </w:pPr>
      <w:r>
        <w:rPr>
          <w:i/>
          <w:color w:val="5A5766"/>
        </w:rPr>
        <w:t>Include at least one case that should not trigger the rule, so learners have to compare.</w:t>
      </w:r>
    </w:p>
    <w:p>
      <w:pPr>
        <w:keepNext/>
        <w:pageBreakBefore/>
        <w:spacing w:before="240" w:after="80"/>
      </w:pPr>
      <w:r>
        <w:rPr>
          <w:b/>
          <w:color w:val="5D008F"/>
          <w:sz w:val="28"/>
        </w:rPr>
        <w:t>Your hint ladder, teaching and transfer case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835"/>
            <w:shd w:val="clear" w:color="auto" w:fill="5D008F"/>
          </w:tcPr>
          <w:p>
            <w:pPr>
              <w:spacing w:before="60" w:after="60"/>
            </w:pPr>
            <w:r/>
            <w:r>
              <w:rPr>
                <w:b/>
                <w:color w:val="FFFFFF"/>
              </w:rPr>
              <w:t>Part</w:t>
            </w:r>
          </w:p>
        </w:tc>
        <w:tc>
          <w:tcPr>
            <w:tcW w:type="dxa" w:w="6803"/>
            <w:shd w:val="clear" w:color="auto" w:fill="5D008F"/>
          </w:tcPr>
          <w:p>
            <w:pPr>
              <w:spacing w:before="60" w:after="60"/>
            </w:pPr>
            <w:r/>
            <w:r>
              <w:rPr>
                <w:b/>
                <w:color w:val="FFFFFF"/>
              </w:rPr>
              <w:t>Your lesson</w:t>
            </w:r>
          </w:p>
        </w:tc>
      </w:tr>
      <w:tr>
        <w:trPr>
          <w:cantSplit w:val="true"/>
          <w:trHeight w:val="1247"/>
        </w:trPr>
        <w:tc>
          <w:tcPr>
            <w:tcW w:type="dxa" w:w="2835"/>
          </w:tcPr>
          <w:p>
            <w:pPr>
              <w:spacing w:before="60" w:after="60"/>
            </w:pPr>
            <w:r>
              <w:rPr>
                <w:b/>
              </w:rPr>
              <w:t>Hint 1 (where to look)</w:t>
            </w:r>
          </w:p>
        </w:tc>
        <w:tc>
          <w:tcPr>
            <w:tcW w:type="dxa" w:w="6803"/>
          </w:tcPr>
          <w:p>
            <w:pPr>
              <w:spacing w:before="60" w:after="60"/>
            </w:pPr>
            <w:r/>
          </w:p>
        </w:tc>
      </w:tr>
      <w:tr>
        <w:trPr>
          <w:cantSplit w:val="true"/>
          <w:trHeight w:val="1247"/>
        </w:trPr>
        <w:tc>
          <w:tcPr>
            <w:tcW w:type="dxa" w:w="2835"/>
            <w:shd w:val="clear" w:color="auto" w:fill="F7F0FB"/>
          </w:tcPr>
          <w:p>
            <w:pPr>
              <w:spacing w:before="60" w:after="60"/>
            </w:pPr>
            <w:r>
              <w:rPr>
                <w:b/>
              </w:rPr>
              <w:t>Hint 2 (narrower)</w:t>
            </w:r>
          </w:p>
        </w:tc>
        <w:tc>
          <w:tcPr>
            <w:tcW w:type="dxa" w:w="6803"/>
            <w:shd w:val="clear" w:color="auto" w:fill="F7F0FB"/>
          </w:tcPr>
          <w:p>
            <w:pPr>
              <w:spacing w:before="60" w:after="60"/>
            </w:pPr>
            <w:r/>
          </w:p>
        </w:tc>
      </w:tr>
      <w:tr>
        <w:trPr>
          <w:cantSplit w:val="true"/>
          <w:trHeight w:val="1247"/>
        </w:trPr>
        <w:tc>
          <w:tcPr>
            <w:tcW w:type="dxa" w:w="2835"/>
          </w:tcPr>
          <w:p>
            <w:pPr>
              <w:spacing w:before="60" w:after="60"/>
            </w:pPr>
            <w:r>
              <w:rPr>
                <w:b/>
              </w:rPr>
              <w:t>Hint 3 (points at the pattern)</w:t>
            </w:r>
          </w:p>
        </w:tc>
        <w:tc>
          <w:tcPr>
            <w:tcW w:type="dxa" w:w="6803"/>
          </w:tcPr>
          <w:p>
            <w:pPr>
              <w:spacing w:before="60" w:after="60"/>
            </w:pPr>
            <w:r/>
          </w:p>
        </w:tc>
      </w:tr>
      <w:tr>
        <w:trPr>
          <w:cantSplit w:val="true"/>
          <w:trHeight w:val="1247"/>
        </w:trPr>
        <w:tc>
          <w:tcPr>
            <w:tcW w:type="dxa" w:w="2835"/>
            <w:shd w:val="clear" w:color="auto" w:fill="F7F0FB"/>
          </w:tcPr>
          <w:p>
            <w:pPr>
              <w:spacing w:before="60" w:after="60"/>
            </w:pPr>
            <w:r>
              <w:rPr>
                <w:b/>
              </w:rPr>
              <w:t>Feedback on each case</w:t>
            </w:r>
          </w:p>
        </w:tc>
        <w:tc>
          <w:tcPr>
            <w:tcW w:type="dxa" w:w="6803"/>
            <w:shd w:val="clear" w:color="auto" w:fill="F7F0FB"/>
          </w:tcPr>
          <w:p>
            <w:pPr>
              <w:spacing w:before="60" w:after="60"/>
            </w:pPr>
            <w:r/>
          </w:p>
        </w:tc>
      </w:tr>
      <w:tr>
        <w:trPr>
          <w:cantSplit w:val="true"/>
          <w:trHeight w:val="1247"/>
        </w:trPr>
        <w:tc>
          <w:tcPr>
            <w:tcW w:type="dxa" w:w="2835"/>
          </w:tcPr>
          <w:p>
            <w:pPr>
              <w:spacing w:before="60" w:after="60"/>
            </w:pPr>
            <w:r>
              <w:rPr>
                <w:b/>
              </w:rPr>
              <w:t>Learners state the pattern</w:t>
            </w:r>
          </w:p>
        </w:tc>
        <w:tc>
          <w:tcPr>
            <w:tcW w:type="dxa" w:w="6803"/>
          </w:tcPr>
          <w:p>
            <w:pPr>
              <w:spacing w:before="60" w:after="60"/>
            </w:pPr>
            <w:r/>
          </w:p>
        </w:tc>
      </w:tr>
      <w:tr>
        <w:trPr>
          <w:cantSplit w:val="true"/>
          <w:trHeight w:val="1247"/>
        </w:trPr>
        <w:tc>
          <w:tcPr>
            <w:tcW w:type="dxa" w:w="2835"/>
            <w:shd w:val="clear" w:color="auto" w:fill="F7F0FB"/>
          </w:tcPr>
          <w:p>
            <w:pPr>
              <w:spacing w:before="60" w:after="60"/>
            </w:pPr>
            <w:r>
              <w:rPr>
                <w:b/>
              </w:rPr>
              <w:t>Where the explicit teaching lands</w:t>
            </w:r>
          </w:p>
        </w:tc>
        <w:tc>
          <w:tcPr>
            <w:tcW w:type="dxa" w:w="6803"/>
            <w:shd w:val="clear" w:color="auto" w:fill="F7F0FB"/>
          </w:tcPr>
          <w:p>
            <w:pPr>
              <w:spacing w:before="60" w:after="60"/>
            </w:pPr>
            <w:r/>
          </w:p>
        </w:tc>
      </w:tr>
      <w:tr>
        <w:trPr>
          <w:cantSplit w:val="true"/>
          <w:trHeight w:val="1247"/>
        </w:trPr>
        <w:tc>
          <w:tcPr>
            <w:tcW w:type="dxa" w:w="2835"/>
          </w:tcPr>
          <w:p>
            <w:pPr>
              <w:spacing w:before="60" w:after="60"/>
            </w:pPr>
            <w:r>
              <w:rPr>
                <w:b/>
              </w:rPr>
              <w:t>What is taught directly</w:t>
            </w:r>
          </w:p>
        </w:tc>
        <w:tc>
          <w:tcPr>
            <w:tcW w:type="dxa" w:w="6803"/>
          </w:tcPr>
          <w:p>
            <w:pPr>
              <w:spacing w:before="60" w:after="60"/>
            </w:pPr>
            <w:r/>
          </w:p>
        </w:tc>
      </w:tr>
      <w:tr>
        <w:trPr>
          <w:cantSplit w:val="true"/>
          <w:trHeight w:val="1247"/>
        </w:trPr>
        <w:tc>
          <w:tcPr>
            <w:tcW w:type="dxa" w:w="2835"/>
            <w:shd w:val="clear" w:color="auto" w:fill="F7F0FB"/>
          </w:tcPr>
          <w:p>
            <w:pPr>
              <w:spacing w:before="60" w:after="60"/>
            </w:pPr>
            <w:r>
              <w:rPr>
                <w:b/>
              </w:rPr>
              <w:t>Transfer case</w:t>
            </w:r>
          </w:p>
        </w:tc>
        <w:tc>
          <w:tcPr>
            <w:tcW w:type="dxa" w:w="6803"/>
            <w:shd w:val="clear" w:color="auto" w:fill="F7F0FB"/>
          </w:tcPr>
          <w:p>
            <w:pPr>
              <w:spacing w:before="60" w:after="60"/>
            </w:pPr>
            <w:r/>
          </w:p>
        </w:tc>
      </w:tr>
      <w:tr>
        <w:trPr>
          <w:cantSplit w:val="true"/>
          <w:trHeight w:val="1247"/>
        </w:trPr>
        <w:tc>
          <w:tcPr>
            <w:tcW w:type="dxa" w:w="2835"/>
          </w:tcPr>
          <w:p>
            <w:pPr>
              <w:spacing w:before="60" w:after="60"/>
            </w:pPr>
            <w:r>
              <w:rPr>
                <w:b/>
              </w:rPr>
              <w:t>How you will check</w:t>
            </w:r>
          </w:p>
        </w:tc>
        <w:tc>
          <w:tcPr>
            <w:tcW w:type="dxa" w:w="6803"/>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