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Problem-First Course Planner</w:t>
      </w:r>
    </w:p>
    <w:p>
      <w:r>
        <w:rPr>
          <w:color w:val="5A5766"/>
          <w:sz w:val="22"/>
        </w:rPr>
        <w:t>Plan a constructivist module in which learners attempt a realistic problem before the explanation, then learn from a worked example, practise with support that fades, compare their reasoning and decide a new case on their own. Coursebox's own adaptation of cognitive apprenticeship (Collins, Brown and Newman, 1989), problem-based learning (Savery, 2006) and problem solving before instruction (Sinha and Kapur, 2021). A planning aid, not a validated instrument: it gives no score. A hypothetical accounts payable course is filled in as an example.</w:t>
      </w:r>
    </w:p>
    <w:p>
      <w:r>
        <w:rPr>
          <w:i/>
          <w:color w:val="5A5766"/>
          <w:sz w:val="18"/>
        </w:rPr>
        <w:t>From the Coursebox blog: coursebox.ai/blog/constructivism-learning-theory-and-its-elearning-application</w:t>
      </w:r>
    </w:p>
    <w:p>
      <w:pPr>
        <w:keepNext/>
        <w:spacing w:before="240" w:after="80"/>
      </w:pPr>
      <w:r>
        <w:rPr>
          <w:b/>
          <w:color w:val="5D008F"/>
          <w:sz w:val="28"/>
        </w:rPr>
        <w:t>How to use this planner</w:t>
      </w:r>
    </w:p>
    <w:p>
      <w:pPr>
        <w:pStyle w:val="ListBullet"/>
      </w:pPr>
      <w:r>
        <w:t>Start from one decision learners get wrong at work, not from a topic. Write it as the problem.</w:t>
      </w:r>
    </w:p>
    <w:p>
      <w:pPr>
        <w:pStyle w:val="ListBullet"/>
      </w:pPr>
      <w:r>
        <w:t>List everything a learner needs to decide it: the documents they would see, the record they should check and the rule that settles it. That is the case pack.</w:t>
      </w:r>
    </w:p>
    <w:p>
      <w:pPr>
        <w:pStyle w:val="ListBullet"/>
      </w:pPr>
      <w:r>
        <w:t>Check what learners already know. Ask, test or look at their work; do not assume it from a job title.</w:t>
      </w:r>
    </w:p>
    <w:p>
      <w:pPr>
        <w:pStyle w:val="ListBullet"/>
      </w:pPr>
      <w:r>
        <w:t>Plan the order: first attempt, worked example, guided practice, comparison, building their own tool, a new case and a short wrap-up.</w:t>
      </w:r>
    </w:p>
    <w:p>
      <w:pPr>
        <w:pStyle w:val="ListBullet"/>
      </w:pPr>
      <w:r>
        <w:t>For each step, set the guidance level (full, partial, light or none) and say exactly what support is on hand. Reduce support as learners become more capable, rather than simply as pages pass.</w:t>
      </w:r>
    </w:p>
    <w:p>
      <w:pPr>
        <w:pStyle w:val="ListBullet"/>
      </w:pPr>
      <w:r>
        <w:t>Write the new-case assessment and its criteria before you write any content, and choose a response format that reveals reasoning, alongside any factual checks.</w:t>
      </w:r>
    </w:p>
    <w:p>
      <w:pPr>
        <w:keepNext/>
        <w:pageBreakBefore/>
        <w:spacing w:before="240" w:after="80"/>
      </w:pPr>
      <w:r>
        <w:rPr>
          <w:b/>
          <w:color w:val="5D008F"/>
          <w:sz w:val="28"/>
        </w:rPr>
        <w:t>Worked example: the problem and the case pack</w:t>
      </w:r>
    </w:p>
    <w:p>
      <w:r>
        <w:t>Hypothetical example. A mid-size manufacturing company is building a 40-minute self-paced course, "Hold, check or pay?", for accounts payable officers in their first three months.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AP course</w:t>
            </w:r>
          </w:p>
        </w:tc>
      </w:tr>
      <w:tr>
        <w:trPr>
          <w:cantSplit w:val="true"/>
        </w:trPr>
        <w:tc>
          <w:tcPr>
            <w:tcW w:type="dxa" w:w="2551"/>
          </w:tcPr>
          <w:p>
            <w:pPr>
              <w:spacing w:before="60" w:after="60"/>
            </w:pPr>
            <w:r>
              <w:rPr>
                <w:b/>
              </w:rPr>
              <w:t>The decision learners get wrong</w:t>
            </w:r>
          </w:p>
        </w:tc>
        <w:tc>
          <w:tcPr>
            <w:tcW w:type="dxa" w:w="7087"/>
          </w:tcPr>
          <w:p>
            <w:pPr>
              <w:spacing w:before="60" w:after="60"/>
            </w:pPr>
            <w:r>
              <w:t>Whether to update a supplier's bank details when a change request arrives, and what to do about the next payment.</w:t>
            </w:r>
          </w:p>
        </w:tc>
      </w:tr>
      <w:tr>
        <w:trPr>
          <w:cantSplit w:val="true"/>
        </w:trPr>
        <w:tc>
          <w:tcPr>
            <w:tcW w:type="dxa" w:w="2551"/>
            <w:shd w:val="clear" w:color="auto" w:fill="F7F0FB"/>
          </w:tcPr>
          <w:p>
            <w:pPr>
              <w:spacing w:before="60" w:after="60"/>
            </w:pPr>
            <w:r>
              <w:rPr>
                <w:b/>
              </w:rPr>
              <w:t>The problem</w:t>
            </w:r>
          </w:p>
        </w:tc>
        <w:tc>
          <w:tcPr>
            <w:tcW w:type="dxa" w:w="7087"/>
            <w:shd w:val="clear" w:color="auto" w:fill="F7F0FB"/>
          </w:tcPr>
          <w:p>
            <w:pPr>
              <w:spacing w:before="60" w:after="60"/>
            </w:pPr>
            <w:r>
              <w:t>On a Tuesday, two days before the weekly payment run, an email from the usual contact at a long-standing packaging supplier asks AP to change the bank account "for all payments from this week" because the supplier has "moved banks". A $48,600 invoice is due in Thursday's run. The sender's domain differs from the usual one by one letter.</w:t>
            </w:r>
          </w:p>
        </w:tc>
      </w:tr>
      <w:tr>
        <w:trPr>
          <w:cantSplit w:val="true"/>
        </w:trPr>
        <w:tc>
          <w:tcPr>
            <w:tcW w:type="dxa" w:w="2551"/>
          </w:tcPr>
          <w:p>
            <w:pPr>
              <w:spacing w:before="60" w:after="60"/>
            </w:pPr>
            <w:r>
              <w:rPr>
                <w:b/>
              </w:rPr>
              <w:t>Case pack</w:t>
            </w:r>
          </w:p>
        </w:tc>
        <w:tc>
          <w:tcPr>
            <w:tcW w:type="dxa" w:w="7087"/>
          </w:tcPr>
          <w:p>
            <w:pPr>
              <w:spacing w:before="60" w:after="60"/>
            </w:pPr>
            <w:r>
              <w:t>The email; the letter on letterhead with new details; the vendor master record (bank details, phone number on file, no changes in four years); the payment run schedule; the procedure.</w:t>
            </w:r>
          </w:p>
        </w:tc>
      </w:tr>
      <w:tr>
        <w:trPr>
          <w:cantSplit w:val="true"/>
        </w:trPr>
        <w:tc>
          <w:tcPr>
            <w:tcW w:type="dxa" w:w="2551"/>
            <w:shd w:val="clear" w:color="auto" w:fill="F7F0FB"/>
          </w:tcPr>
          <w:p>
            <w:pPr>
              <w:spacing w:before="60" w:after="60"/>
            </w:pPr>
            <w:r>
              <w:rPr>
                <w:b/>
              </w:rPr>
              <w:t>The rule that settles it</w:t>
            </w:r>
          </w:p>
        </w:tc>
        <w:tc>
          <w:tcPr>
            <w:tcW w:type="dxa" w:w="7087"/>
            <w:shd w:val="clear" w:color="auto" w:fill="F7F0FB"/>
          </w:tcPr>
          <w:p>
            <w:pPr>
              <w:spacing w:before="60" w:after="60"/>
            </w:pPr>
            <w:r>
              <w:t>Confirm any bank-detail change by calling the supplier on the number already on file, never a number in the request, and get a second officer's approval before the next payment.</w:t>
            </w:r>
          </w:p>
        </w:tc>
      </w:tr>
      <w:tr>
        <w:trPr>
          <w:cantSplit w:val="true"/>
        </w:trPr>
        <w:tc>
          <w:tcPr>
            <w:tcW w:type="dxa" w:w="2551"/>
          </w:tcPr>
          <w:p>
            <w:pPr>
              <w:spacing w:before="60" w:after="60"/>
            </w:pPr>
            <w:r>
              <w:rPr>
                <w:b/>
              </w:rPr>
              <w:t>Intended outcome</w:t>
            </w:r>
          </w:p>
        </w:tc>
        <w:tc>
          <w:tcPr>
            <w:tcW w:type="dxa" w:w="7087"/>
          </w:tcPr>
          <w:p>
            <w:pPr>
              <w:spacing w:before="60" w:after="60"/>
            </w:pPr>
            <w:r>
              <w:t>Officers judge a change request against the vendor record and procedure, choose hold, check or pay, justify it in writing, and build their own check for the next request.</w:t>
            </w:r>
          </w:p>
        </w:tc>
      </w:tr>
    </w:tbl>
    <w:p>
      <w:pPr>
        <w:keepNext/>
        <w:spacing w:before="240" w:after="80"/>
      </w:pPr>
      <w:r>
        <w:rPr>
          <w:b/>
          <w:color w:val="5D008F"/>
          <w:sz w:val="28"/>
        </w:rPr>
        <w:t>Worked example: what learners already know</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AP course</w:t>
            </w:r>
          </w:p>
        </w:tc>
      </w:tr>
      <w:tr>
        <w:trPr>
          <w:cantSplit w:val="true"/>
        </w:trPr>
        <w:tc>
          <w:tcPr>
            <w:tcW w:type="dxa" w:w="3402"/>
          </w:tcPr>
          <w:p>
            <w:pPr>
              <w:spacing w:before="60" w:after="60"/>
            </w:pPr>
            <w:r>
              <w:rPr>
                <w:b/>
              </w:rPr>
              <w:t>What can they already do?</w:t>
            </w:r>
          </w:p>
        </w:tc>
        <w:tc>
          <w:tcPr>
            <w:tcW w:type="dxa" w:w="6236"/>
          </w:tcPr>
          <w:p>
            <w:pPr>
              <w:spacing w:before="60" w:after="60"/>
            </w:pPr>
            <w:r>
              <w:t>Enter invoices and run the weekly payment run in the finance system.</w:t>
            </w:r>
          </w:p>
        </w:tc>
      </w:tr>
      <w:tr>
        <w:trPr>
          <w:cantSplit w:val="true"/>
        </w:trPr>
        <w:tc>
          <w:tcPr>
            <w:tcW w:type="dxa" w:w="3402"/>
            <w:shd w:val="clear" w:color="auto" w:fill="F7F0FB"/>
          </w:tcPr>
          <w:p>
            <w:pPr>
              <w:spacing w:before="60" w:after="60"/>
            </w:pPr>
            <w:r>
              <w:rPr>
                <w:b/>
              </w:rPr>
              <w:t>What have they not done yet?</w:t>
            </w:r>
          </w:p>
        </w:tc>
        <w:tc>
          <w:tcPr>
            <w:tcW w:type="dxa" w:w="6236"/>
            <w:shd w:val="clear" w:color="auto" w:fill="F7F0FB"/>
          </w:tcPr>
          <w:p>
            <w:pPr>
              <w:spacing w:before="60" w:after="60"/>
            </w:pPr>
            <w:r>
              <w:t>Handled a bank-detail change request, or read the verification procedure.</w:t>
            </w:r>
          </w:p>
        </w:tc>
      </w:tr>
      <w:tr>
        <w:trPr>
          <w:cantSplit w:val="true"/>
        </w:trPr>
        <w:tc>
          <w:tcPr>
            <w:tcW w:type="dxa" w:w="3402"/>
          </w:tcPr>
          <w:p>
            <w:pPr>
              <w:spacing w:before="60" w:after="60"/>
            </w:pPr>
            <w:r>
              <w:rPr>
                <w:b/>
              </w:rPr>
              <w:t>What do they probably believe?</w:t>
            </w:r>
          </w:p>
        </w:tc>
        <w:tc>
          <w:tcPr>
            <w:tcW w:type="dxa" w:w="6236"/>
          </w:tcPr>
          <w:p>
            <w:pPr>
              <w:spacing w:before="60" w:after="60"/>
            </w:pPr>
            <w:r>
              <w:t>A request from the usual contact is safe. The first open answer will confirm or correct this.</w:t>
            </w:r>
          </w:p>
        </w:tc>
      </w:tr>
      <w:tr>
        <w:trPr>
          <w:cantSplit w:val="true"/>
        </w:trPr>
        <w:tc>
          <w:tcPr>
            <w:tcW w:type="dxa" w:w="3402"/>
            <w:shd w:val="clear" w:color="auto" w:fill="F7F0FB"/>
          </w:tcPr>
          <w:p>
            <w:pPr>
              <w:spacing w:before="60" w:after="60"/>
            </w:pPr>
            <w:r>
              <w:rPr>
                <w:b/>
              </w:rPr>
              <w:t>How did we check?</w:t>
            </w:r>
          </w:p>
        </w:tc>
        <w:tc>
          <w:tcPr>
            <w:tcW w:type="dxa" w:w="6236"/>
            <w:shd w:val="clear" w:color="auto" w:fill="F7F0FB"/>
          </w:tcPr>
          <w:p>
            <w:pPr>
              <w:spacing w:before="60" w:after="60"/>
            </w:pPr>
            <w:r>
              <w:t>A sample of new officers' answers to one open question about a similar request, before the course was written.</w:t>
            </w:r>
          </w:p>
        </w:tc>
      </w:tr>
    </w:tbl>
    <w:p>
      <w:pPr>
        <w:keepNext/>
        <w:pageBreakBefore/>
        <w:spacing w:before="240" w:after="80"/>
      </w:pPr>
      <w:r>
        <w:rPr>
          <w:b/>
          <w:color w:val="5D008F"/>
          <w:sz w:val="28"/>
        </w:rPr>
        <w:t>Worked example: the sequence and the guidance at each step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Step</w:t>
            </w:r>
          </w:p>
        </w:tc>
        <w:tc>
          <w:tcPr>
            <w:tcW w:type="dxa" w:w="2835"/>
            <w:shd w:val="clear" w:color="auto" w:fill="5D008F"/>
          </w:tcPr>
          <w:p>
            <w:pPr>
              <w:spacing w:before="60" w:after="60"/>
            </w:pPr>
            <w:r/>
            <w:r>
              <w:rPr>
                <w:b/>
                <w:color w:val="FFFFFF"/>
              </w:rPr>
              <w:t>What learners do</w:t>
            </w:r>
          </w:p>
        </w:tc>
        <w:tc>
          <w:tcPr>
            <w:tcW w:type="dxa" w:w="1247"/>
            <w:shd w:val="clear" w:color="auto" w:fill="5D008F"/>
          </w:tcPr>
          <w:p>
            <w:pPr>
              <w:spacing w:before="60" w:after="60"/>
            </w:pPr>
            <w:r/>
            <w:r>
              <w:rPr>
                <w:b/>
                <w:color w:val="FFFFFF"/>
              </w:rPr>
              <w:t>Guidance level</w:t>
            </w:r>
          </w:p>
        </w:tc>
        <w:tc>
          <w:tcPr>
            <w:tcW w:type="dxa" w:w="2268"/>
            <w:shd w:val="clear" w:color="auto" w:fill="5D008F"/>
          </w:tcPr>
          <w:p>
            <w:pPr>
              <w:spacing w:before="60" w:after="60"/>
            </w:pPr>
            <w:r/>
            <w:r>
              <w:rPr>
                <w:b/>
                <w:color w:val="FFFFFF"/>
              </w:rPr>
              <w:t>Support on hand</w:t>
            </w:r>
          </w:p>
        </w:tc>
        <w:tc>
          <w:tcPr>
            <w:tcW w:type="dxa" w:w="1701"/>
            <w:shd w:val="clear" w:color="auto" w:fill="5D008F"/>
          </w:tcPr>
          <w:p>
            <w:pPr>
              <w:spacing w:before="60" w:after="60"/>
            </w:pPr>
            <w:r/>
            <w:r>
              <w:rPr>
                <w:b/>
                <w:color w:val="FFFFFF"/>
              </w:rPr>
              <w:t>Method</w:t>
            </w:r>
          </w:p>
        </w:tc>
      </w:tr>
      <w:tr>
        <w:trPr>
          <w:cantSplit w:val="true"/>
        </w:trPr>
        <w:tc>
          <w:tcPr>
            <w:tcW w:type="dxa" w:w="1587"/>
          </w:tcPr>
          <w:p>
            <w:pPr>
              <w:spacing w:before="60" w:after="60"/>
            </w:pPr>
            <w:r>
              <w:rPr>
                <w:b/>
              </w:rPr>
              <w:t>Before you start</w:t>
            </w:r>
          </w:p>
        </w:tc>
        <w:tc>
          <w:tcPr>
            <w:tcW w:type="dxa" w:w="2835"/>
          </w:tcPr>
          <w:p>
            <w:pPr>
              <w:spacing w:before="60" w:after="60"/>
            </w:pPr>
            <w:r>
              <w:t>See what the course covers and the case pack</w:t>
            </w:r>
          </w:p>
        </w:tc>
        <w:tc>
          <w:tcPr>
            <w:tcW w:type="dxa" w:w="1247"/>
          </w:tcPr>
          <w:p>
            <w:pPr>
              <w:spacing w:before="60" w:after="60"/>
            </w:pPr>
            <w:r>
              <w:t>Light</w:t>
            </w:r>
          </w:p>
        </w:tc>
        <w:tc>
          <w:tcPr>
            <w:tcW w:type="dxa" w:w="2268"/>
          </w:tcPr>
          <w:p>
            <w:pPr>
              <w:spacing w:before="60" w:after="60"/>
            </w:pPr>
            <w:r>
              <w:t>Short overview; no procedure or fraud lecture yet</w:t>
            </w:r>
          </w:p>
        </w:tc>
        <w:tc>
          <w:tcPr>
            <w:tcW w:type="dxa" w:w="1701"/>
          </w:tcPr>
          <w:p>
            <w:pPr>
              <w:spacing w:before="60" w:after="60"/>
            </w:pPr>
            <w:r>
              <w:t>Problem-based learning</w:t>
            </w:r>
          </w:p>
        </w:tc>
      </w:tr>
      <w:tr>
        <w:trPr>
          <w:cantSplit w:val="true"/>
        </w:trPr>
        <w:tc>
          <w:tcPr>
            <w:tcW w:type="dxa" w:w="1587"/>
            <w:shd w:val="clear" w:color="auto" w:fill="F7F0FB"/>
          </w:tcPr>
          <w:p>
            <w:pPr>
              <w:spacing w:before="60" w:after="60"/>
            </w:pPr>
            <w:r>
              <w:rPr>
                <w:b/>
              </w:rPr>
              <w:t>Your first call</w:t>
            </w:r>
          </w:p>
        </w:tc>
        <w:tc>
          <w:tcPr>
            <w:tcW w:type="dxa" w:w="2835"/>
            <w:shd w:val="clear" w:color="auto" w:fill="F7F0FB"/>
          </w:tcPr>
          <w:p>
            <w:pPr>
              <w:spacing w:before="60" w:after="60"/>
            </w:pPr>
            <w:r>
              <w:t>Read the Tuesday request and write what they would do and why</w:t>
            </w:r>
          </w:p>
        </w:tc>
        <w:tc>
          <w:tcPr>
            <w:tcW w:type="dxa" w:w="1247"/>
            <w:shd w:val="clear" w:color="auto" w:fill="F7F0FB"/>
          </w:tcPr>
          <w:p>
            <w:pPr>
              <w:spacing w:before="60" w:after="60"/>
            </w:pPr>
            <w:r>
              <w:t>None</w:t>
            </w:r>
          </w:p>
        </w:tc>
        <w:tc>
          <w:tcPr>
            <w:tcW w:type="dxa" w:w="2268"/>
            <w:shd w:val="clear" w:color="auto" w:fill="F7F0FB"/>
          </w:tcPr>
          <w:p>
            <w:pPr>
              <w:spacing w:before="60" w:after="60"/>
            </w:pPr>
            <w:r>
              <w:t>Told a first answer does not need to be right</w:t>
            </w:r>
          </w:p>
        </w:tc>
        <w:tc>
          <w:tcPr>
            <w:tcW w:type="dxa" w:w="1701"/>
            <w:shd w:val="clear" w:color="auto" w:fill="F7F0FB"/>
          </w:tcPr>
          <w:p>
            <w:pPr>
              <w:spacing w:before="60" w:after="60"/>
            </w:pPr>
            <w:r>
              <w:t>Problem first</w:t>
            </w:r>
          </w:p>
        </w:tc>
      </w:tr>
      <w:tr>
        <w:trPr>
          <w:cantSplit w:val="true"/>
        </w:trPr>
        <w:tc>
          <w:tcPr>
            <w:tcW w:type="dxa" w:w="1587"/>
          </w:tcPr>
          <w:p>
            <w:pPr>
              <w:spacing w:before="60" w:after="60"/>
            </w:pPr>
            <w:r>
              <w:rPr>
                <w:b/>
              </w:rPr>
              <w:t>Watch an experienced officer</w:t>
            </w:r>
          </w:p>
        </w:tc>
        <w:tc>
          <w:tcPr>
            <w:tcW w:type="dxa" w:w="2835"/>
          </w:tcPr>
          <w:p>
            <w:pPr>
              <w:spacing w:before="60" w:after="60"/>
            </w:pPr>
            <w:r>
              <w:t>Follow a senior officer thinking aloud through an earlier request</w:t>
            </w:r>
          </w:p>
        </w:tc>
        <w:tc>
          <w:tcPr>
            <w:tcW w:type="dxa" w:w="1247"/>
          </w:tcPr>
          <w:p>
            <w:pPr>
              <w:spacing w:before="60" w:after="60"/>
            </w:pPr>
            <w:r>
              <w:t>Full</w:t>
            </w:r>
          </w:p>
        </w:tc>
        <w:tc>
          <w:tcPr>
            <w:tcW w:type="dxa" w:w="2268"/>
          </w:tcPr>
          <w:p>
            <w:pPr>
              <w:spacing w:before="60" w:after="60"/>
            </w:pPr>
            <w:r>
              <w:t>Worked example, step by step</w:t>
            </w:r>
          </w:p>
        </w:tc>
        <w:tc>
          <w:tcPr>
            <w:tcW w:type="dxa" w:w="1701"/>
          </w:tcPr>
          <w:p>
            <w:pPr>
              <w:spacing w:before="60" w:after="60"/>
            </w:pPr>
            <w:r>
              <w:t>Case-based learning, modelling</w:t>
            </w:r>
          </w:p>
        </w:tc>
      </w:tr>
      <w:tr>
        <w:trPr>
          <w:cantSplit w:val="true"/>
        </w:trPr>
        <w:tc>
          <w:tcPr>
            <w:tcW w:type="dxa" w:w="1587"/>
            <w:shd w:val="clear" w:color="auto" w:fill="F7F0FB"/>
          </w:tcPr>
          <w:p>
            <w:pPr>
              <w:spacing w:before="60" w:after="60"/>
            </w:pPr>
            <w:r>
              <w:rPr>
                <w:b/>
              </w:rPr>
              <w:t>Work the case with hints</w:t>
            </w:r>
          </w:p>
        </w:tc>
        <w:tc>
          <w:tcPr>
            <w:tcW w:type="dxa" w:w="2835"/>
            <w:shd w:val="clear" w:color="auto" w:fill="F7F0FB"/>
          </w:tcPr>
          <w:p>
            <w:pPr>
              <w:spacing w:before="60" w:after="60"/>
            </w:pPr>
            <w:r>
              <w:t>Check each part of the case pack against the Tuesday request</w:t>
            </w:r>
          </w:p>
        </w:tc>
        <w:tc>
          <w:tcPr>
            <w:tcW w:type="dxa" w:w="1247"/>
            <w:shd w:val="clear" w:color="auto" w:fill="F7F0FB"/>
          </w:tcPr>
          <w:p>
            <w:pPr>
              <w:spacing w:before="60" w:after="60"/>
            </w:pPr>
            <w:r>
              <w:t>Partial</w:t>
            </w:r>
          </w:p>
        </w:tc>
        <w:tc>
          <w:tcPr>
            <w:tcW w:type="dxa" w:w="2268"/>
            <w:shd w:val="clear" w:color="auto" w:fill="F7F0FB"/>
          </w:tcPr>
          <w:p>
            <w:pPr>
              <w:spacing w:before="60" w:after="60"/>
            </w:pPr>
            <w:r>
              <w:t>Optional hints that point to where to look</w:t>
            </w:r>
          </w:p>
        </w:tc>
        <w:tc>
          <w:tcPr>
            <w:tcW w:type="dxa" w:w="1701"/>
            <w:shd w:val="clear" w:color="auto" w:fill="F7F0FB"/>
          </w:tcPr>
          <w:p>
            <w:pPr>
              <w:spacing w:before="60" w:after="60"/>
            </w:pPr>
            <w:r>
              <w:t>Inquiry, coaching</w:t>
            </w:r>
          </w:p>
        </w:tc>
      </w:tr>
      <w:tr>
        <w:trPr>
          <w:cantSplit w:val="true"/>
        </w:trPr>
        <w:tc>
          <w:tcPr>
            <w:tcW w:type="dxa" w:w="1587"/>
          </w:tcPr>
          <w:p>
            <w:pPr>
              <w:spacing w:before="60" w:after="60"/>
            </w:pPr>
            <w:r>
              <w:rPr>
                <w:b/>
              </w:rPr>
              <w:t>Compare your reasoning</w:t>
            </w:r>
          </w:p>
        </w:tc>
        <w:tc>
          <w:tcPr>
            <w:tcW w:type="dxa" w:w="2835"/>
          </w:tcPr>
          <w:p>
            <w:pPr>
              <w:spacing w:before="60" w:after="60"/>
            </w:pPr>
            <w:r>
              <w:t>Read two colleagues' decisions and say which they agree with and what they would change</w:t>
            </w:r>
          </w:p>
        </w:tc>
        <w:tc>
          <w:tcPr>
            <w:tcW w:type="dxa" w:w="1247"/>
          </w:tcPr>
          <w:p>
            <w:pPr>
              <w:spacing w:before="60" w:after="60"/>
            </w:pPr>
            <w:r>
              <w:t>Partial</w:t>
            </w:r>
          </w:p>
        </w:tc>
        <w:tc>
          <w:tcPr>
            <w:tcW w:type="dxa" w:w="2268"/>
          </w:tcPr>
          <w:p>
            <w:pPr>
              <w:spacing w:before="60" w:after="60"/>
            </w:pPr>
            <w:r>
              <w:t>The procedure and the worked example</w:t>
            </w:r>
          </w:p>
        </w:tc>
        <w:tc>
          <w:tcPr>
            <w:tcW w:type="dxa" w:w="1701"/>
          </w:tcPr>
          <w:p>
            <w:pPr>
              <w:spacing w:before="60" w:after="60"/>
            </w:pPr>
            <w:r>
              <w:t>Reflection with peers</w:t>
            </w:r>
          </w:p>
        </w:tc>
      </w:tr>
      <w:tr>
        <w:trPr>
          <w:cantSplit w:val="true"/>
        </w:trPr>
        <w:tc>
          <w:tcPr>
            <w:tcW w:type="dxa" w:w="1587"/>
            <w:shd w:val="clear" w:color="auto" w:fill="F7F0FB"/>
          </w:tcPr>
          <w:p>
            <w:pPr>
              <w:spacing w:before="60" w:after="60"/>
            </w:pPr>
            <w:r>
              <w:rPr>
                <w:b/>
              </w:rPr>
              <w:t>Build your own check</w:t>
            </w:r>
          </w:p>
        </w:tc>
        <w:tc>
          <w:tcPr>
            <w:tcW w:type="dxa" w:w="2835"/>
            <w:shd w:val="clear" w:color="auto" w:fill="F7F0FB"/>
          </w:tcPr>
          <w:p>
            <w:pPr>
              <w:spacing w:before="60" w:after="60"/>
            </w:pPr>
            <w:r>
              <w:t>Write a personal checklist for the next request</w:t>
            </w:r>
          </w:p>
        </w:tc>
        <w:tc>
          <w:tcPr>
            <w:tcW w:type="dxa" w:w="1247"/>
            <w:shd w:val="clear" w:color="auto" w:fill="F7F0FB"/>
          </w:tcPr>
          <w:p>
            <w:pPr>
              <w:spacing w:before="60" w:after="60"/>
            </w:pPr>
            <w:r>
              <w:t>Light</w:t>
            </w:r>
          </w:p>
        </w:tc>
        <w:tc>
          <w:tcPr>
            <w:tcW w:type="dxa" w:w="2268"/>
            <w:shd w:val="clear" w:color="auto" w:fill="F7F0FB"/>
          </w:tcPr>
          <w:p>
            <w:pPr>
              <w:spacing w:before="60" w:after="60"/>
            </w:pPr>
            <w:r>
              <w:t>Prompts for what a checklist covers</w:t>
            </w:r>
          </w:p>
        </w:tc>
        <w:tc>
          <w:tcPr>
            <w:tcW w:type="dxa" w:w="1701"/>
            <w:shd w:val="clear" w:color="auto" w:fill="F7F0FB"/>
          </w:tcPr>
          <w:p>
            <w:pPr>
              <w:spacing w:before="60" w:after="60"/>
            </w:pPr>
            <w:r>
              <w:t>Constructionism</w:t>
            </w:r>
          </w:p>
        </w:tc>
      </w:tr>
      <w:tr>
        <w:trPr>
          <w:cantSplit w:val="true"/>
        </w:trPr>
        <w:tc>
          <w:tcPr>
            <w:tcW w:type="dxa" w:w="1587"/>
          </w:tcPr>
          <w:p>
            <w:pPr>
              <w:spacing w:before="60" w:after="60"/>
            </w:pPr>
            <w:r>
              <w:rPr>
                <w:b/>
              </w:rPr>
              <w:t>New case decision</w:t>
            </w:r>
          </w:p>
        </w:tc>
        <w:tc>
          <w:tcPr>
            <w:tcW w:type="dxa" w:w="2835"/>
          </w:tcPr>
          <w:p>
            <w:pPr>
              <w:spacing w:before="60" w:after="60"/>
            </w:pPr>
            <w:r>
              <w:t>Write a decision on a new request that arrives by phone</w:t>
            </w:r>
          </w:p>
        </w:tc>
        <w:tc>
          <w:tcPr>
            <w:tcW w:type="dxa" w:w="1247"/>
          </w:tcPr>
          <w:p>
            <w:pPr>
              <w:spacing w:before="60" w:after="60"/>
            </w:pPr>
            <w:r>
              <w:t>None</w:t>
            </w:r>
          </w:p>
        </w:tc>
        <w:tc>
          <w:tcPr>
            <w:tcW w:type="dxa" w:w="2268"/>
          </w:tcPr>
          <w:p>
            <w:pPr>
              <w:spacing w:before="60" w:after="60"/>
            </w:pPr>
            <w:r>
              <w:t>The procedure only</w:t>
            </w:r>
          </w:p>
        </w:tc>
        <w:tc>
          <w:tcPr>
            <w:tcW w:type="dxa" w:w="1701"/>
          </w:tcPr>
          <w:p>
            <w:pPr>
              <w:spacing w:before="60" w:after="60"/>
            </w:pPr>
            <w:r>
              <w:t>Exploration</w:t>
            </w:r>
          </w:p>
        </w:tc>
      </w:tr>
      <w:tr>
        <w:trPr>
          <w:cantSplit w:val="true"/>
        </w:trPr>
        <w:tc>
          <w:tcPr>
            <w:tcW w:type="dxa" w:w="1587"/>
            <w:shd w:val="clear" w:color="auto" w:fill="F7F0FB"/>
          </w:tcPr>
          <w:p>
            <w:pPr>
              <w:spacing w:before="60" w:after="60"/>
            </w:pPr>
            <w:r>
              <w:rPr>
                <w:b/>
              </w:rPr>
              <w:t>Wrap-up</w:t>
            </w:r>
          </w:p>
        </w:tc>
        <w:tc>
          <w:tcPr>
            <w:tcW w:type="dxa" w:w="2835"/>
            <w:shd w:val="clear" w:color="auto" w:fill="F7F0FB"/>
          </w:tcPr>
          <w:p>
            <w:pPr>
              <w:spacing w:before="60" w:after="60"/>
            </w:pPr>
            <w:r>
              <w:t>Learn how to raise a held payment with the supplier and approver</w:t>
            </w:r>
          </w:p>
        </w:tc>
        <w:tc>
          <w:tcPr>
            <w:tcW w:type="dxa" w:w="1247"/>
            <w:shd w:val="clear" w:color="auto" w:fill="F7F0FB"/>
          </w:tcPr>
          <w:p>
            <w:pPr>
              <w:spacing w:before="60" w:after="60"/>
            </w:pPr>
            <w:r>
              <w:t>Full</w:t>
            </w:r>
          </w:p>
        </w:tc>
        <w:tc>
          <w:tcPr>
            <w:tcW w:type="dxa" w:w="2268"/>
            <w:shd w:val="clear" w:color="auto" w:fill="F7F0FB"/>
          </w:tcPr>
          <w:p>
            <w:pPr>
              <w:spacing w:before="60" w:after="60"/>
            </w:pPr>
            <w:r>
              <w:t>Short explanation</w:t>
            </w:r>
          </w:p>
        </w:tc>
        <w:tc>
          <w:tcPr>
            <w:tcW w:type="dxa" w:w="1701"/>
            <w:shd w:val="clear" w:color="auto" w:fill="F7F0FB"/>
          </w:tcPr>
          <w:p>
            <w:pPr>
              <w:spacing w:before="60" w:after="60"/>
            </w:pPr>
            <w:r>
              <w:t>Direct instruction</w:t>
            </w:r>
          </w:p>
        </w:tc>
      </w:tr>
    </w:tbl>
    <w:p>
      <w:pPr>
        <w:keepNext/>
        <w:spacing w:before="240" w:after="80"/>
      </w:pPr>
      <w:r>
        <w:rPr>
          <w:b/>
          <w:color w:val="5D008F"/>
          <w:sz w:val="28"/>
        </w:rPr>
        <w:t>Worked example: the new-case assessment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AP course</w:t>
            </w:r>
          </w:p>
        </w:tc>
      </w:tr>
      <w:tr>
        <w:trPr>
          <w:cantSplit w:val="true"/>
        </w:trPr>
        <w:tc>
          <w:tcPr>
            <w:tcW w:type="dxa" w:w="2551"/>
          </w:tcPr>
          <w:p>
            <w:pPr>
              <w:spacing w:before="60" w:after="60"/>
            </w:pPr>
            <w:r>
              <w:rPr>
                <w:b/>
              </w:rPr>
              <w:t>The new case</w:t>
            </w:r>
          </w:p>
        </w:tc>
        <w:tc>
          <w:tcPr>
            <w:tcW w:type="dxa" w:w="7087"/>
          </w:tcPr>
          <w:p>
            <w:pPr>
              <w:spacing w:before="60" w:after="60"/>
            </w:pPr>
            <w:r>
              <w:t>A different supplier; the request arrives by phone, not email; different warning signs. The Tuesday answer cannot be reused.</w:t>
            </w:r>
          </w:p>
        </w:tc>
      </w:tr>
      <w:tr>
        <w:trPr>
          <w:cantSplit w:val="true"/>
        </w:trPr>
        <w:tc>
          <w:tcPr>
            <w:tcW w:type="dxa" w:w="2551"/>
            <w:shd w:val="clear" w:color="auto" w:fill="F7F0FB"/>
          </w:tcPr>
          <w:p>
            <w:pPr>
              <w:spacing w:before="60" w:after="60"/>
            </w:pPr>
            <w:r>
              <w:rPr>
                <w:b/>
              </w:rPr>
              <w:t>Response format</w:t>
            </w:r>
          </w:p>
        </w:tc>
        <w:tc>
          <w:tcPr>
            <w:tcW w:type="dxa" w:w="7087"/>
            <w:shd w:val="clear" w:color="auto" w:fill="F7F0FB"/>
          </w:tcPr>
          <w:p>
            <w:pPr>
              <w:spacing w:before="60" w:after="60"/>
            </w:pPr>
            <w:r>
              <w:t>Open text: the decision and the reasoning behind it.</w:t>
            </w:r>
          </w:p>
        </w:tc>
      </w:tr>
      <w:tr>
        <w:trPr>
          <w:cantSplit w:val="true"/>
        </w:trPr>
        <w:tc>
          <w:tcPr>
            <w:tcW w:type="dxa" w:w="2551"/>
          </w:tcPr>
          <w:p>
            <w:pPr>
              <w:spacing w:before="60" w:after="60"/>
            </w:pPr>
            <w:r>
              <w:rPr>
                <w:b/>
              </w:rPr>
              <w:t>Criterion 1</w:t>
            </w:r>
          </w:p>
        </w:tc>
        <w:tc>
          <w:tcPr>
            <w:tcW w:type="dxa" w:w="7087"/>
          </w:tcPr>
          <w:p>
            <w:pPr>
              <w:spacing w:before="60" w:after="60"/>
            </w:pPr>
            <w:r>
              <w:t>Checked the request against the vendor master record.</w:t>
            </w:r>
          </w:p>
        </w:tc>
      </w:tr>
      <w:tr>
        <w:trPr>
          <w:cantSplit w:val="true"/>
        </w:trPr>
        <w:tc>
          <w:tcPr>
            <w:tcW w:type="dxa" w:w="2551"/>
            <w:shd w:val="clear" w:color="auto" w:fill="F7F0FB"/>
          </w:tcPr>
          <w:p>
            <w:pPr>
              <w:spacing w:before="60" w:after="60"/>
            </w:pPr>
            <w:r>
              <w:rPr>
                <w:b/>
              </w:rPr>
              <w:t>Criterion 2</w:t>
            </w:r>
          </w:p>
        </w:tc>
        <w:tc>
          <w:tcPr>
            <w:tcW w:type="dxa" w:w="7087"/>
            <w:shd w:val="clear" w:color="auto" w:fill="F7F0FB"/>
          </w:tcPr>
          <w:p>
            <w:pPr>
              <w:spacing w:before="60" w:after="60"/>
            </w:pPr>
            <w:r>
              <w:t>Named the verification step from the procedure.</w:t>
            </w:r>
          </w:p>
        </w:tc>
      </w:tr>
      <w:tr>
        <w:trPr>
          <w:cantSplit w:val="true"/>
        </w:trPr>
        <w:tc>
          <w:tcPr>
            <w:tcW w:type="dxa" w:w="2551"/>
          </w:tcPr>
          <w:p>
            <w:pPr>
              <w:spacing w:before="60" w:after="60"/>
            </w:pPr>
            <w:r>
              <w:rPr>
                <w:b/>
              </w:rPr>
              <w:t>Criterion 3</w:t>
            </w:r>
          </w:p>
        </w:tc>
        <w:tc>
          <w:tcPr>
            <w:tcW w:type="dxa" w:w="7087"/>
          </w:tcPr>
          <w:p>
            <w:pPr>
              <w:spacing w:before="60" w:after="60"/>
            </w:pPr>
            <w:r>
              <w:t>Stated the next action for the payment run.</w:t>
            </w:r>
          </w:p>
        </w:tc>
      </w:tr>
      <w:tr>
        <w:trPr>
          <w:cantSplit w:val="true"/>
        </w:trPr>
        <w:tc>
          <w:tcPr>
            <w:tcW w:type="dxa" w:w="2551"/>
            <w:shd w:val="clear" w:color="auto" w:fill="F7F0FB"/>
          </w:tcPr>
          <w:p>
            <w:pPr>
              <w:spacing w:before="60" w:after="60"/>
            </w:pPr>
            <w:r>
              <w:rPr>
                <w:b/>
              </w:rPr>
              <w:t>Facts check</w:t>
            </w:r>
          </w:p>
        </w:tc>
        <w:tc>
          <w:tcPr>
            <w:tcW w:type="dxa" w:w="7087"/>
            <w:shd w:val="clear" w:color="auto" w:fill="F7F0FB"/>
          </w:tcPr>
          <w:p>
            <w:pPr>
              <w:spacing w:before="60" w:after="60"/>
            </w:pPr>
            <w:r>
              <w:t>Short multiple choice on procedure facts only, such as who approves a change.</w:t>
            </w:r>
          </w:p>
        </w:tc>
      </w:tr>
      <w:tr>
        <w:trPr>
          <w:cantSplit w:val="true"/>
        </w:trPr>
        <w:tc>
          <w:tcPr>
            <w:tcW w:type="dxa" w:w="2551"/>
          </w:tcPr>
          <w:p>
            <w:pPr>
              <w:spacing w:before="60" w:after="60"/>
            </w:pPr>
            <w:r>
              <w:rPr>
                <w:b/>
              </w:rPr>
              <w:t>On the job later</w:t>
            </w:r>
          </w:p>
        </w:tc>
        <w:tc>
          <w:tcPr>
            <w:tcW w:type="dxa" w:w="7087"/>
          </w:tcPr>
          <w:p>
            <w:pPr>
              <w:spacing w:before="60" w:after="60"/>
            </w:pPr>
            <w:r>
              <w:t>Review the change requests each officer handles over the following weeks.</w:t>
            </w:r>
          </w:p>
        </w:tc>
      </w:tr>
    </w:tbl>
    <w:p>
      <w:pPr>
        <w:keepNext/>
        <w:pageBreakBefore/>
        <w:spacing w:before="240" w:after="80"/>
      </w:pPr>
      <w:r>
        <w:rPr>
          <w:b/>
          <w:color w:val="5D008F"/>
          <w:sz w:val="28"/>
        </w:rPr>
        <w:t>Your module: the problem and the case pack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Your course</w:t>
            </w:r>
          </w:p>
        </w:tc>
      </w:tr>
      <w:tr>
        <w:trPr>
          <w:cantSplit w:val="true"/>
          <w:trHeight w:val="1247"/>
        </w:trPr>
        <w:tc>
          <w:tcPr>
            <w:tcW w:type="dxa" w:w="2551"/>
          </w:tcPr>
          <w:p>
            <w:pPr>
              <w:spacing w:before="60" w:after="60"/>
            </w:pPr>
            <w:r>
              <w:rPr>
                <w:b/>
              </w:rPr>
              <w:t>The decision learners get wrong</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The problem</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Case pack</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The rule that settles it</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Intended outcome</w:t>
            </w:r>
          </w:p>
        </w:tc>
        <w:tc>
          <w:tcPr>
            <w:tcW w:type="dxa" w:w="7087"/>
          </w:tcPr>
          <w:p>
            <w:pPr>
              <w:spacing w:before="60" w:after="60"/>
            </w:pPr>
            <w:r/>
          </w:p>
        </w:tc>
      </w:tr>
    </w:tbl>
    <w:p>
      <w:pPr>
        <w:keepNext/>
        <w:spacing w:before="240" w:after="80"/>
      </w:pPr>
      <w:r>
        <w:rPr>
          <w:b/>
          <w:color w:val="5D008F"/>
          <w:sz w:val="28"/>
        </w:rPr>
        <w:t>Your module: what learners already know</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Your answer</w:t>
            </w:r>
          </w:p>
        </w:tc>
      </w:tr>
      <w:tr>
        <w:trPr>
          <w:cantSplit w:val="true"/>
          <w:trHeight w:val="1020"/>
        </w:trPr>
        <w:tc>
          <w:tcPr>
            <w:tcW w:type="dxa" w:w="3402"/>
          </w:tcPr>
          <w:p>
            <w:pPr>
              <w:spacing w:before="60" w:after="60"/>
            </w:pPr>
            <w:r>
              <w:rPr>
                <w:b/>
              </w:rPr>
              <w:t>What can they already do?</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What have they not done yet?</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What do they probably believe?</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How did you check?</w:t>
            </w:r>
          </w:p>
        </w:tc>
        <w:tc>
          <w:tcPr>
            <w:tcW w:type="dxa" w:w="6236"/>
            <w:shd w:val="clear" w:color="auto" w:fill="F7F0FB"/>
          </w:tcPr>
          <w:p>
            <w:pPr>
              <w:spacing w:before="60" w:after="60"/>
            </w:pPr>
            <w:r/>
          </w:p>
        </w:tc>
      </w:tr>
    </w:tbl>
    <w:p>
      <w:pPr>
        <w:keepNext/>
        <w:pageBreakBefore/>
        <w:spacing w:before="240" w:after="80"/>
      </w:pPr>
      <w:r>
        <w:rPr>
          <w:b/>
          <w:color w:val="5D008F"/>
          <w:sz w:val="28"/>
        </w:rPr>
        <w:t>Your module: the sequence and the guidance at each step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Step</w:t>
            </w:r>
          </w:p>
        </w:tc>
        <w:tc>
          <w:tcPr>
            <w:tcW w:type="dxa" w:w="2835"/>
            <w:shd w:val="clear" w:color="auto" w:fill="5D008F"/>
          </w:tcPr>
          <w:p>
            <w:pPr>
              <w:spacing w:before="60" w:after="60"/>
            </w:pPr>
            <w:r/>
            <w:r>
              <w:rPr>
                <w:b/>
                <w:color w:val="FFFFFF"/>
              </w:rPr>
              <w:t>What learners do</w:t>
            </w:r>
          </w:p>
        </w:tc>
        <w:tc>
          <w:tcPr>
            <w:tcW w:type="dxa" w:w="1247"/>
            <w:shd w:val="clear" w:color="auto" w:fill="5D008F"/>
          </w:tcPr>
          <w:p>
            <w:pPr>
              <w:spacing w:before="60" w:after="60"/>
            </w:pPr>
            <w:r/>
            <w:r>
              <w:rPr>
                <w:b/>
                <w:color w:val="FFFFFF"/>
              </w:rPr>
              <w:t>Guidance level</w:t>
            </w:r>
          </w:p>
        </w:tc>
        <w:tc>
          <w:tcPr>
            <w:tcW w:type="dxa" w:w="2268"/>
            <w:shd w:val="clear" w:color="auto" w:fill="5D008F"/>
          </w:tcPr>
          <w:p>
            <w:pPr>
              <w:spacing w:before="60" w:after="60"/>
            </w:pPr>
            <w:r/>
            <w:r>
              <w:rPr>
                <w:b/>
                <w:color w:val="FFFFFF"/>
              </w:rPr>
              <w:t>Support on hand</w:t>
            </w:r>
          </w:p>
        </w:tc>
        <w:tc>
          <w:tcPr>
            <w:tcW w:type="dxa" w:w="1701"/>
            <w:shd w:val="clear" w:color="auto" w:fill="5D008F"/>
          </w:tcPr>
          <w:p>
            <w:pPr>
              <w:spacing w:before="60" w:after="60"/>
            </w:pPr>
            <w:r/>
            <w:r>
              <w:rPr>
                <w:b/>
                <w:color w:val="FFFFFF"/>
              </w:rPr>
              <w:t>Method</w:t>
            </w:r>
          </w:p>
        </w:tc>
      </w:tr>
      <w:tr>
        <w:trPr>
          <w:cantSplit w:val="true"/>
          <w:trHeight w:val="1134"/>
        </w:trPr>
        <w:tc>
          <w:tcPr>
            <w:tcW w:type="dxa" w:w="1587"/>
          </w:tcPr>
          <w:p>
            <w:pPr>
              <w:spacing w:before="60" w:after="60"/>
            </w:pPr>
            <w:r>
              <w:rPr>
                <w:b/>
              </w:rPr>
              <w:t>First attempt</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Worked example</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Guided practice</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Compare reasoning</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Build their own tool</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New case</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Wrap-up</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Your module: the new-case assessment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Your course</w:t>
            </w:r>
          </w:p>
        </w:tc>
      </w:tr>
      <w:tr>
        <w:trPr>
          <w:cantSplit w:val="true"/>
          <w:trHeight w:val="1077"/>
        </w:trPr>
        <w:tc>
          <w:tcPr>
            <w:tcW w:type="dxa" w:w="2551"/>
          </w:tcPr>
          <w:p>
            <w:pPr>
              <w:spacing w:before="60" w:after="60"/>
            </w:pPr>
            <w:r>
              <w:rPr>
                <w:b/>
              </w:rPr>
              <w:t>The new case</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Response format</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Criterion 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Criterion 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Criterion 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Facts check</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On the job later</w:t>
            </w:r>
          </w:p>
        </w:tc>
        <w:tc>
          <w:tcPr>
            <w:tcW w:type="dxa" w:w="7087"/>
          </w:tcPr>
          <w:p>
            <w:pPr>
              <w:spacing w:before="60" w:after="60"/>
            </w:pPr>
            <w:r/>
          </w:p>
        </w:tc>
      </w:tr>
    </w:tbl>
    <w:p>
      <w:pPr>
        <w:keepNext/>
        <w:pageBreakBefore/>
        <w:spacing w:before="240" w:after="80"/>
      </w:pPr>
      <w:r>
        <w:rPr>
          <w:b/>
          <w:color w:val="5D008F"/>
          <w:sz w:val="28"/>
        </w:rPr>
        <w:t>Check your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Check</w:t>
            </w:r>
          </w:p>
        </w:tc>
        <w:tc>
          <w:tcPr>
            <w:tcW w:type="dxa" w:w="3685"/>
            <w:shd w:val="clear" w:color="auto" w:fill="5D008F"/>
          </w:tcPr>
          <w:p>
            <w:pPr>
              <w:spacing w:before="60" w:after="60"/>
            </w:pPr>
            <w:r/>
            <w:r>
              <w:rPr>
                <w:b/>
                <w:color w:val="FFFFFF"/>
              </w:rPr>
              <w:t>Yes or notes</w:t>
            </w:r>
          </w:p>
        </w:tc>
      </w:tr>
      <w:tr>
        <w:trPr>
          <w:cantSplit w:val="true"/>
          <w:trHeight w:val="850"/>
        </w:trPr>
        <w:tc>
          <w:tcPr>
            <w:tcW w:type="dxa" w:w="5953"/>
          </w:tcPr>
          <w:p>
            <w:pPr>
              <w:spacing w:before="60" w:after="60"/>
            </w:pPr>
            <w:r>
              <w:t>Does the case pack give learners everything the decision needs?</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Did you check what learners already know, rather than assume it?</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Does the opening order suit prior knowledge, with a worked example first if needed?</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Is there a worked example before guided practice?</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Does support fall from step to step, ending with none on the new case?</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Is the new case different enough that the first answer cannot be reused?</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Does the final task assess the decision and the reasoning behind it?</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Do you know how you will check the job afterwards?</w:t>
            </w:r>
          </w:p>
        </w:tc>
        <w:tc>
          <w:tcPr>
            <w:tcW w:type="dxa" w:w="3685"/>
            <w:shd w:val="clear" w:color="auto" w:fill="F7F0FB"/>
          </w:tcPr>
          <w:p>
            <w:pPr>
              <w:spacing w:before="60" w:after="60"/>
            </w:pPr>
            <w:r/>
          </w:p>
        </w:tc>
      </w:tr>
    </w:tbl>
    <w:p>
      <w:pPr>
        <w:spacing w:before="160"/>
      </w:pPr>
      <w:r>
        <w:rPr>
          <w:i/>
          <w:color w:val="5A5766"/>
        </w:rPr>
        <w:t>Coursebox's own adaptation. Method sources: Collins, A., Brown, J. S. and Newman, S. E. (1989) Cognitive apprenticeship; Savery, J. R. (2006) Overview of problem-based learning; Sinha, T. and Kapur, M. (2021) When problem solving followed by instruction works. This planner gives no score: a completed plan does not show that learners will decide well on the job. Pilot it and check the work.</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