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Plan de lección con los nueve eventos de Gagné</w:t>
      </w:r>
    </w:p>
    <w:p>
      <w:r>
        <w:rPr>
          <w:color w:val="5A5766"/>
          <w:sz w:val="22"/>
        </w:rPr>
        <w:t>Planifica los nueve eventos con una sesión práctica supervisada hipotética con un DEA de entrenamiento y un maniquí. No es un curso de certificación.</w:t>
      </w:r>
    </w:p>
    <w:p>
      <w:r>
        <w:rPr>
          <w:i/>
          <w:color w:val="5A5766"/>
          <w:sz w:val="18"/>
        </w:rPr>
        <w:t>Del blog de Coursebox: coursebox.ai/blog/gagne-instructional-design-model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Datos de la lección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283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Elemento</w:t>
            </w:r>
          </w:p>
        </w:tc>
        <w:tc>
          <w:tcPr>
            <w:tcW w:type="dxa" w:w="680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Tu lección</w:t>
            </w:r>
          </w:p>
        </w:tc>
      </w:tr>
      <w:tr>
        <w:trPr>
          <w:cantSplit w:val="true"/>
          <w:trHeight w:val="567"/>
        </w:trPr>
        <w:tc>
          <w:tcPr>
            <w:tcW w:type="dxa" w:w="2835"/>
          </w:tcPr>
          <w:p>
            <w:pPr>
              <w:spacing w:before="60" w:after="60"/>
            </w:pPr>
            <w:r>
              <w:rPr>
                <w:b/>
              </w:rPr>
              <w:t>Lección y duración</w:t>
            </w:r>
          </w:p>
        </w:tc>
        <w:tc>
          <w:tcPr>
            <w:tcW w:type="dxa" w:w="6803"/>
          </w:tcPr>
          <w:p>
            <w:pPr>
              <w:spacing w:before="60" w:after="60"/>
            </w:pPr>
            <w:r>
              <w:t>Uso de un desfibrilador externo automático (DEA), 45 minutos</w:t>
            </w:r>
          </w:p>
        </w:tc>
      </w:tr>
      <w:tr>
        <w:trPr>
          <w:cantSplit w:val="true"/>
          <w:trHeight w:val="567"/>
        </w:trPr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Estudiantes</w:t>
            </w:r>
          </w:p>
        </w:tc>
        <w:tc>
          <w:tcPr>
            <w:tcW w:type="dxa" w:w="6803"/>
            <w:shd w:val="clear" w:color="auto" w:fill="F7F0FB"/>
          </w:tcPr>
          <w:p>
            <w:pPr>
              <w:spacing w:before="60" w:after="60"/>
            </w:pPr>
            <w:r>
              <w:t>Responsables de primeros auxilios de oficina, la mayoría con un certificado de RCP vigente</w:t>
            </w:r>
          </w:p>
        </w:tc>
      </w:tr>
      <w:tr>
        <w:trPr>
          <w:cantSplit w:val="true"/>
          <w:trHeight w:val="567"/>
        </w:trPr>
        <w:tc>
          <w:tcPr>
            <w:tcW w:type="dxa" w:w="2835"/>
          </w:tcPr>
          <w:p>
            <w:pPr>
              <w:spacing w:before="60" w:after="60"/>
            </w:pPr>
            <w:r>
              <w:rPr>
                <w:b/>
              </w:rPr>
              <w:t>Tipo de resultado</w:t>
            </w:r>
          </w:p>
        </w:tc>
        <w:tc>
          <w:tcPr>
            <w:tcW w:type="dxa" w:w="6803"/>
          </w:tcPr>
          <w:p>
            <w:pPr>
              <w:spacing w:before="60" w:after="60"/>
            </w:pPr>
            <w:r>
              <w:t>Habilidad motora y procedimiento, con algunas decisiones</w:t>
            </w:r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Los nueve eventos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215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Evento</w:t>
            </w:r>
          </w:p>
        </w:tc>
        <w:tc>
          <w:tcPr>
            <w:tcW w:type="dxa" w:w="238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Qué harás</w:t>
            </w:r>
          </w:p>
        </w:tc>
        <w:tc>
          <w:tcPr>
            <w:tcW w:type="dxa" w:w="3742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Ejemplo del DEA</w:t>
            </w:r>
          </w:p>
        </w:tc>
        <w:tc>
          <w:tcPr>
            <w:tcW w:type="dxa" w:w="136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Minutos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1. Captar la atención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3742"/>
          </w:tcPr>
          <w:p>
            <w:pPr>
              <w:spacing w:before="60" w:after="60"/>
            </w:pPr>
            <w:r>
              <w:t>Usa una situación de emergencia simulada y aprobada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t>2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2. Informar del objetivo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742"/>
            <w:shd w:val="clear" w:color="auto" w:fill="F7F0FB"/>
          </w:tcPr>
          <w:p>
            <w:pPr>
              <w:spacing w:before="60" w:after="60"/>
            </w:pPr>
            <w:r>
              <w:t>Usar un DEA de entrenamiento dentro de la secuencia de soporte vital básico aprobada por el instructor, incluyendo la colocación de los parches, las indicaciones y la seguridad durante la descarga</w:t>
            </w:r>
          </w:p>
        </w:tc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>
              <w:t>1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3. Estimular el recuerdo de lo aprendido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3742"/>
          </w:tcPr>
          <w:p>
            <w:pPr>
              <w:spacing w:before="60" w:after="60"/>
            </w:pPr>
            <w:r>
              <w:t>Recordar la respuesta vigente de soporte vital básico y en qué punto encaja el uso del DEA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t>3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4. Presentar el contenido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742"/>
            <w:shd w:val="clear" w:color="auto" w:fill="F7F0FB"/>
          </w:tcPr>
          <w:p>
            <w:pPr>
              <w:spacing w:before="60" w:after="60"/>
            </w:pPr>
            <w:r>
              <w:t>Un instructor cualificado demuestra el DEA de entrenamiento siguiendo las guías vigentes de soporte vital básico</w:t>
            </w:r>
          </w:p>
        </w:tc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>
              <w:t>8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5. Guiar el aprendizaje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3742"/>
          </w:tcPr>
          <w:p>
            <w:pPr>
              <w:spacing w:before="60" w:after="60"/>
            </w:pPr>
            <w:r>
              <w:t>Diagrama de colocación de los parches; pista: el DEA te dice qué hacer después, así que escucha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t>4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6. Fomentar la práctica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742"/>
            <w:shd w:val="clear" w:color="auto" w:fill="F7F0FB"/>
          </w:tcPr>
          <w:p>
            <w:pPr>
              <w:spacing w:before="60" w:after="60"/>
            </w:pPr>
            <w:r>
              <w:t>Cada estudiante ejecuta la secuencia con un DEA de entrenamiento y un maniquí</w:t>
            </w:r>
          </w:p>
        </w:tc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>
              <w:t>12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7. Dar feedback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3742"/>
          </w:tcPr>
          <w:p>
            <w:pPr>
              <w:spacing w:before="60" w:after="60"/>
            </w:pPr>
            <w:r>
              <w:t>El instructor comprueba la colocación, las indicaciones y que todos se aparten a tiempo durante el análisis y la descarga simulada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t>5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8. Evaluar el desempeño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742"/>
            <w:shd w:val="clear" w:color="auto" w:fill="F7F0FB"/>
          </w:tcPr>
          <w:p>
            <w:pPr>
              <w:spacing w:before="60" w:after="60"/>
            </w:pPr>
            <w:r>
              <w:t>Simulación independiente con la lista de verificación completa y vigente de soporte vital básico del instructor cualificado</w:t>
            </w:r>
          </w:p>
        </w:tc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>
              <w:t>7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9. Fomentar la retención y la transferencia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3742"/>
          </w:tcPr>
          <w:p>
            <w:pPr>
              <w:spacing w:before="60" w:after="60"/>
            </w:pPr>
            <w:r>
              <w:t>Localizar el DEA de la oficina; acordar con el instructor un calendario de repaso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t>3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plantilla gratuita  |  página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