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Arbeitsblatt zur Fallbegründung und persönlichen Checkliste</w:t>
      </w:r>
    </w:p>
    <w:p>
      <w:r>
        <w:rPr>
          <w:color w:val="5A5766"/>
          <w:sz w:val="22"/>
        </w:rPr>
        <w:t>Für eine lernende Person, die einen Fall bearbeitet: Halten Sie die erste und die endgültige Antwort fest, vergleichen Sie die Begründungen von zwei Kollegen, prüfen Sie die Entscheidung anhand schriftlicher Kriterien und erstellen Sie eine persönliche Checkliste für den nächsten Fall. Dies ist eine eigene Adaption von Coursebox der Reflexions- und Artikulationsmethoden aus dem Cognitive Apprenticeship (Collins, Brown und Holum, 1991). Es ist ein Lernhilfsmittel, kein validiertes Messinstrument: Es ergibt keinen Punktwert und bescheinigt keine Kompetenz. Als Beispiel ist das Arbeitsblatt eines fiktiven Mitarbeiters der Kreditorenbuchhaltung ausgefüllt.</w:t>
      </w:r>
    </w:p>
    <w:p>
      <w:r>
        <w:rPr>
          <w:i/>
          <w:color w:val="5A5766"/>
          <w:sz w:val="18"/>
        </w:rPr>
        <w:t>Aus dem Coursebox-Blog: coursebox.ai/blog/constructivism-learning-theory-and-its-elearning-application</w:t>
      </w:r>
    </w:p>
    <w:p>
      <w:pPr>
        <w:keepNext/>
        <w:spacing w:before="240" w:after="80"/>
      </w:pPr>
      <w:r>
        <w:rPr>
          <w:b/>
          <w:color w:val="5D008F"/>
          <w:sz w:val="28"/>
        </w:rPr>
        <w:t>So verwenden Sie dieses Arbeitsblatt</w:t>
      </w:r>
    </w:p>
    <w:p>
      <w:pPr>
        <w:pStyle w:val="ListBullet"/>
      </w:pPr>
      <w:r>
        <w:t>Halten Sie in der Variante mit Problem zuerst die erste Antwort vor der Erklärung fest. Wenn Lernende nicht starten können, setzen Sie zuerst ein durchgearbeitetes Beispiel ein.</w:t>
      </w:r>
    </w:p>
    <w:p>
      <w:pPr>
        <w:pStyle w:val="ListBullet"/>
      </w:pPr>
      <w:r>
        <w:t>Schreiben Sie die endgültige Antwort nach dem durchgearbeiteten Beispiel und dem begleiteten Üben. Der Unterschied zwischen beiden Antworten ist der Beleg für verändertes Denken.</w:t>
      </w:r>
    </w:p>
    <w:p>
      <w:pPr>
        <w:pStyle w:val="ListBullet"/>
      </w:pPr>
      <w:r>
        <w:t>Vergleichen Sie die Entscheidungen von zwei Kollegen zum selben Fall. Sagen Sie, welcher Begründung Sie zustimmen und warum, und nicht nur, welche Antwort richtig ist.</w:t>
      </w:r>
    </w:p>
    <w:p>
      <w:pPr>
        <w:pStyle w:val="ListBullet"/>
      </w:pPr>
      <w:r>
        <w:t>Prüfen Sie die endgültige Entscheidung anhand jedes Kriteriums mit einer kurzen schriftlichen Notiz. Die Notizen sind Anregungen für Feedback, keine Noten.</w:t>
      </w:r>
    </w:p>
    <w:p>
      <w:pPr>
        <w:pStyle w:val="ListBullet"/>
      </w:pPr>
      <w:r>
        <w:t>Schreiben Sie zum Abschluss in eigenen Worten Ihre eigene Checkliste für den nächsten Fall.</w:t>
      </w:r>
    </w:p>
    <w:p>
      <w:pPr>
        <w:keepNext/>
        <w:pageBreakBefore/>
        <w:spacing w:before="240" w:after="80"/>
      </w:pPr>
      <w:r>
        <w:rPr>
          <w:b/>
          <w:color w:val="5D008F"/>
          <w:sz w:val="28"/>
        </w:rPr>
        <w:t>Beispiel: erste und endgültige Antwort</w:t>
      </w:r>
    </w:p>
    <w:p>
      <w:r>
        <w:t>Fiktives Beispiel. Ein neuer Mitarbeiter der Kreditorenbuchhaltung bearbeitet den Fall vom Dienstag: Eine E-Mail vom üblichen Ansprechpartner eines langjährigen Verpackungslieferanten bittet die Kreditorenbuchhaltung, das Bankkonto „für alle Zahlungen ab dieser Woche“ zu ändern. Eine Rechnung über 48.600 $ ist im Zahlungslauf am Donnerstag fällig, und die Absenderdomain unterscheidet sich von der üblichen um einen Buchstaben.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Die Antwort des Mitarbeiters</w:t>
            </w:r>
          </w:p>
        </w:tc>
      </w:tr>
      <w:tr>
        <w:trPr>
          <w:cantSplit w:val="true"/>
        </w:trPr>
        <w:tc>
          <w:tcPr>
            <w:tcW w:type="dxa" w:w="1984"/>
          </w:tcPr>
          <w:p>
            <w:pPr>
              <w:spacing w:before="60" w:after="60"/>
            </w:pPr>
            <w:r>
              <w:rPr>
                <w:b/>
              </w:rPr>
              <w:t>Erste Antwort</w:t>
            </w:r>
          </w:p>
        </w:tc>
        <w:tc>
          <w:tcPr>
            <w:tcW w:type="dxa" w:w="7654"/>
          </w:tcPr>
          <w:p>
            <w:pPr>
              <w:spacing w:before="60" w:after="60"/>
            </w:pPr>
            <w:r>
              <w:t>Die Bankdaten aktualisieren, weil die Anfrage von dem Ansprechpartner kam, mit dem wir immer zu tun haben, und das Schreiben auf deren Briefpapier steht. Am Donnerstag wie gewohnt zahlen.</w:t>
            </w:r>
          </w:p>
        </w:tc>
      </w:tr>
      <w:tr>
        <w:trPr>
          <w:cantSplit w:val="true"/>
        </w:trPr>
        <w:tc>
          <w:tcPr>
            <w:tcW w:type="dxa" w:w="1984"/>
            <w:shd w:val="clear" w:color="auto" w:fill="F7F0FB"/>
          </w:tcPr>
          <w:p>
            <w:pPr>
              <w:spacing w:before="60" w:after="60"/>
            </w:pPr>
            <w:r>
              <w:rPr>
                <w:b/>
              </w:rPr>
              <w:t>Endgültige Antwort</w:t>
            </w:r>
          </w:p>
        </w:tc>
        <w:tc>
          <w:tcPr>
            <w:tcW w:type="dxa" w:w="7654"/>
            <w:shd w:val="clear" w:color="auto" w:fill="F7F0FB"/>
          </w:tcPr>
          <w:p>
            <w:pPr>
              <w:spacing w:before="60" w:after="60"/>
            </w:pPr>
            <w:r>
              <w:t>Die Änderung und die Zahlung über 48.600 $ zurückhalten. Die Absenderdomain unterscheidet sich um einen Buchstaben von der im Lieferantenstamm, und der Datensatz zeigt seit vier Jahren keine Änderung. Den Lieferanten unter der bereits hinterlegten Nummer anrufen, nicht unter einer Nummer aus der E-Mail oder dem Schreiben, und vor jeder Änderung die Freigabe einer zweiten Person einholen. Dem Freigebenden mitteilen, dass die Zahlung am Donnerstag angehalten ist.</w:t>
            </w:r>
          </w:p>
        </w:tc>
      </w:tr>
      <w:tr>
        <w:trPr>
          <w:cantSplit w:val="true"/>
        </w:trPr>
        <w:tc>
          <w:tcPr>
            <w:tcW w:type="dxa" w:w="1984"/>
          </w:tcPr>
          <w:p>
            <w:pPr>
              <w:spacing w:before="60" w:after="60"/>
            </w:pPr>
            <w:r>
              <w:rPr>
                <w:b/>
              </w:rPr>
              <w:t>Was sich in meiner Begründung verändert hat</w:t>
            </w:r>
          </w:p>
        </w:tc>
        <w:tc>
          <w:tcPr>
            <w:tcW w:type="dxa" w:w="7654"/>
          </w:tcPr>
          <w:p>
            <w:pPr>
              <w:spacing w:before="60" w:after="60"/>
            </w:pPr>
            <w:r>
              <w:t>Ich habe dem Namen des Absenders vertraut. Jetzt prüfe ich die Anfrage anhand des Lieferantensatzes und der Verfahrensanweisung, von wem sie auch zu stammen scheint.</w:t>
            </w:r>
          </w:p>
        </w:tc>
      </w:tr>
    </w:tbl>
    <w:p>
      <w:pPr>
        <w:keepNext/>
        <w:spacing w:before="240" w:after="80"/>
      </w:pPr>
      <w:r>
        <w:rPr>
          <w:b/>
          <w:color w:val="5D008F"/>
          <w:sz w:val="28"/>
        </w:rPr>
        <w:t>Beispiel: Begründungen von Kollegen vergleichen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Entscheidung der Kollegin oder des Kollegen</w:t>
            </w:r>
          </w:p>
        </w:tc>
        <w:tc>
          <w:tcPr>
            <w:tcW w:type="dxa" w:w="3685"/>
            <w:shd w:val="clear" w:color="auto" w:fill="5D008F"/>
          </w:tcPr>
          <w:p>
            <w:pPr>
              <w:spacing w:before="60" w:after="60"/>
            </w:pPr>
            <w:r/>
            <w:r>
              <w:rPr>
                <w:b/>
                <w:color w:val="FFFFFF"/>
              </w:rPr>
              <w:t>Begründung</w:t>
            </w:r>
          </w:p>
        </w:tc>
        <w:tc>
          <w:tcPr>
            <w:tcW w:type="dxa" w:w="3685"/>
            <w:shd w:val="clear" w:color="auto" w:fill="5D008F"/>
          </w:tcPr>
          <w:p>
            <w:pPr>
              <w:spacing w:before="60" w:after="60"/>
            </w:pPr>
            <w:r/>
            <w:r>
              <w:rPr>
                <w:b/>
                <w:color w:val="FFFFFF"/>
              </w:rPr>
              <w:t>Stimme ich zu, und warum?</w:t>
            </w:r>
          </w:p>
        </w:tc>
      </w:tr>
      <w:tr>
        <w:trPr>
          <w:cantSplit w:val="true"/>
        </w:trPr>
        <w:tc>
          <w:tcPr>
            <w:tcW w:type="dxa" w:w="2268"/>
          </w:tcPr>
          <w:p>
            <w:pPr>
              <w:spacing w:before="60" w:after="60"/>
            </w:pPr>
            <w:r>
              <w:rPr>
                <w:b/>
              </w:rPr>
              <w:t>Zahlt am Donnerstag und aktualisiert die Daten</w:t>
            </w:r>
          </w:p>
        </w:tc>
        <w:tc>
          <w:tcPr>
            <w:tcW w:type="dxa" w:w="3685"/>
          </w:tcPr>
          <w:p>
            <w:pPr>
              <w:spacing w:before="60" w:after="60"/>
            </w:pPr>
            <w:r>
              <w:t>Bekannter Ansprechpartner, Briefpapier, der Lieferant gab an, die Bank gewechselt zu haben</w:t>
            </w:r>
          </w:p>
        </w:tc>
        <w:tc>
          <w:tcPr>
            <w:tcW w:type="dxa" w:w="3685"/>
          </w:tcPr>
          <w:p>
            <w:pPr>
              <w:spacing w:before="60" w:after="60"/>
            </w:pPr>
            <w:r>
              <w:t>Nein. Nichts in der Anfrage wurde mit dem Lieferantensatz abgeglichen, und die Verfahrensanweisung verlangt einen Anruf unter der hinterlegten Nummer.</w:t>
            </w:r>
          </w:p>
        </w:tc>
      </w:tr>
      <w:tr>
        <w:trPr>
          <w:cantSplit w:val="true"/>
        </w:trPr>
        <w:tc>
          <w:tcPr>
            <w:tcW w:type="dxa" w:w="2268"/>
            <w:shd w:val="clear" w:color="auto" w:fill="F7F0FB"/>
          </w:tcPr>
          <w:p>
            <w:pPr>
              <w:spacing w:before="60" w:after="60"/>
            </w:pPr>
            <w:r>
              <w:rPr>
                <w:b/>
              </w:rPr>
              <w:t>Hält die Zahlung zurück und ruft die hinterlegte Nummer an</w:t>
            </w:r>
          </w:p>
        </w:tc>
        <w:tc>
          <w:tcPr>
            <w:tcW w:type="dxa" w:w="3685"/>
            <w:shd w:val="clear" w:color="auto" w:fill="F7F0FB"/>
          </w:tcPr>
          <w:p>
            <w:pPr>
              <w:spacing w:before="60" w:after="60"/>
            </w:pPr>
            <w:r>
              <w:t>Domain stimmt nicht überein, erste Änderung seit vier Jahren, Termindruck in der E-Mail</w:t>
            </w:r>
          </w:p>
        </w:tc>
        <w:tc>
          <w:tcPr>
            <w:tcW w:type="dxa" w:w="3685"/>
            <w:shd w:val="clear" w:color="auto" w:fill="F7F0FB"/>
          </w:tcPr>
          <w:p>
            <w:pPr>
              <w:spacing w:before="60" w:after="60"/>
            </w:pPr>
            <w:r>
              <w:t>Ja. Das folgt der Verfahrensanweisung und erklärt, welche Angaben nicht passten.</w:t>
            </w:r>
          </w:p>
        </w:tc>
      </w:tr>
    </w:tbl>
    <w:p>
      <w:pPr>
        <w:keepNext/>
        <w:pageBreakBefore/>
        <w:spacing w:before="240" w:after="80"/>
      </w:pPr>
      <w:r>
        <w:rPr>
          <w:b/>
          <w:color w:val="5D008F"/>
          <w:sz w:val="28"/>
        </w:rPr>
        <w:t>Beispiel: die endgültige Entscheidung prüfen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Kriterium</w:t>
            </w:r>
          </w:p>
        </w:tc>
        <w:tc>
          <w:tcPr>
            <w:tcW w:type="dxa" w:w="1814"/>
            <w:shd w:val="clear" w:color="auto" w:fill="5D008F"/>
          </w:tcPr>
          <w:p>
            <w:pPr>
              <w:spacing w:before="60" w:after="60"/>
            </w:pPr>
            <w:r/>
            <w:r>
              <w:rPr>
                <w:b/>
                <w:color w:val="FFFFFF"/>
              </w:rPr>
              <w:t>Noch nicht</w:t>
            </w:r>
          </w:p>
        </w:tc>
        <w:tc>
          <w:tcPr>
            <w:tcW w:type="dxa" w:w="1814"/>
            <w:shd w:val="clear" w:color="auto" w:fill="5D008F"/>
          </w:tcPr>
          <w:p>
            <w:pPr>
              <w:spacing w:before="60" w:after="60"/>
            </w:pPr>
            <w:r/>
            <w:r>
              <w:rPr>
                <w:b/>
                <w:color w:val="FFFFFF"/>
              </w:rPr>
              <w:t>Erfüllt</w:t>
            </w:r>
          </w:p>
        </w:tc>
        <w:tc>
          <w:tcPr>
            <w:tcW w:type="dxa" w:w="1814"/>
            <w:shd w:val="clear" w:color="auto" w:fill="5D008F"/>
          </w:tcPr>
          <w:p>
            <w:pPr>
              <w:spacing w:before="60" w:after="60"/>
            </w:pPr>
            <w:r/>
            <w:r>
              <w:rPr>
                <w:b/>
                <w:color w:val="FFFFFF"/>
              </w:rPr>
              <w:t>Geht darüber hinaus</w:t>
            </w:r>
          </w:p>
        </w:tc>
        <w:tc>
          <w:tcPr>
            <w:tcW w:type="dxa" w:w="2154"/>
            <w:shd w:val="clear" w:color="auto" w:fill="5D008F"/>
          </w:tcPr>
          <w:p>
            <w:pPr>
              <w:spacing w:before="60" w:after="60"/>
            </w:pPr>
            <w:r/>
            <w:r>
              <w:rPr>
                <w:b/>
                <w:color w:val="FFFFFF"/>
              </w:rPr>
              <w:t>Feedback-Notiz</w:t>
            </w:r>
          </w:p>
        </w:tc>
      </w:tr>
      <w:tr>
        <w:trPr>
          <w:cantSplit w:val="true"/>
        </w:trPr>
        <w:tc>
          <w:tcPr>
            <w:tcW w:type="dxa" w:w="2041"/>
          </w:tcPr>
          <w:p>
            <w:pPr>
              <w:spacing w:before="60" w:after="60"/>
            </w:pPr>
            <w:r>
              <w:rPr>
                <w:b/>
              </w:rPr>
              <w:t>Die Anfrage mit dem Lieferantenstammsatz abgeglichen</w:t>
            </w:r>
          </w:p>
        </w:tc>
        <w:tc>
          <w:tcPr>
            <w:tcW w:type="dxa" w:w="1814"/>
          </w:tcPr>
          <w:p>
            <w:pPr>
              <w:spacing w:before="60" w:after="60"/>
            </w:pPr>
            <w:r>
              <w:t>Verlässt sich auf den Namen des Absenders oder das Briefpapier</w:t>
            </w:r>
          </w:p>
        </w:tc>
        <w:tc>
          <w:tcPr>
            <w:tcW w:type="dxa" w:w="1814"/>
          </w:tcPr>
          <w:p>
            <w:pPr>
              <w:spacing w:before="60" w:after="60"/>
            </w:pPr>
            <w:r>
              <w:t>Vergleicht Domain, Bankdaten und Änderungsverlauf mit dem Datensatz</w:t>
            </w:r>
          </w:p>
        </w:tc>
        <w:tc>
          <w:tcPr>
            <w:tcW w:type="dxa" w:w="1814"/>
          </w:tcPr>
          <w:p>
            <w:pPr>
              <w:spacing w:before="60" w:after="60"/>
            </w:pPr>
            <w:r>
              <w:t>Benennt zusätzlich, welche Angabe leicht zu übersehen gewesen wäre</w:t>
            </w:r>
          </w:p>
        </w:tc>
        <w:tc>
          <w:tcPr>
            <w:tcW w:type="dxa" w:w="2154"/>
          </w:tcPr>
          <w:p>
            <w:pPr>
              <w:spacing w:before="60" w:after="60"/>
            </w:pPr>
            <w:r>
              <w:t>Domain und Änderungsverlauf verglichen. Beim nächsten Mal auch die Bankdaten im Schreiben mit dem Datensatz vergleichen.</w:t>
            </w:r>
          </w:p>
        </w:tc>
      </w:tr>
      <w:tr>
        <w:trPr>
          <w:cantSplit w:val="true"/>
        </w:trPr>
        <w:tc>
          <w:tcPr>
            <w:tcW w:type="dxa" w:w="2041"/>
            <w:shd w:val="clear" w:color="auto" w:fill="F7F0FB"/>
          </w:tcPr>
          <w:p>
            <w:pPr>
              <w:spacing w:before="60" w:after="60"/>
            </w:pPr>
            <w:r>
              <w:rPr>
                <w:b/>
              </w:rPr>
              <w:t>Den Verifizierungsschritt aus der Verfahrensanweisung benannt</w:t>
            </w:r>
          </w:p>
        </w:tc>
        <w:tc>
          <w:tcPr>
            <w:tcW w:type="dxa" w:w="1814"/>
            <w:shd w:val="clear" w:color="auto" w:fill="F7F0FB"/>
          </w:tcPr>
          <w:p>
            <w:pPr>
              <w:spacing w:before="60" w:after="60"/>
            </w:pPr>
            <w:r>
              <w:t>Kein Anruf oder Anruf unter einer Nummer aus der Anfrage</w:t>
            </w:r>
          </w:p>
        </w:tc>
        <w:tc>
          <w:tcPr>
            <w:tcW w:type="dxa" w:w="1814"/>
            <w:shd w:val="clear" w:color="auto" w:fill="F7F0FB"/>
          </w:tcPr>
          <w:p>
            <w:pPr>
              <w:spacing w:before="60" w:after="60"/>
            </w:pPr>
            <w:r>
              <w:t>Ruft die hinterlegte Nummer an und verlangt eine zweite Freigabe</w:t>
            </w:r>
          </w:p>
        </w:tc>
        <w:tc>
          <w:tcPr>
            <w:tcW w:type="dxa" w:w="1814"/>
            <w:shd w:val="clear" w:color="auto" w:fill="F7F0FB"/>
          </w:tcPr>
          <w:p>
            <w:pPr>
              <w:spacing w:before="60" w:after="60"/>
            </w:pPr>
            <w:r>
              <w:t>Nennt den Anruf und die Freigabe einer zweiten Person</w:t>
            </w:r>
          </w:p>
        </w:tc>
        <w:tc>
          <w:tcPr>
            <w:tcW w:type="dxa" w:w="2154"/>
            <w:shd w:val="clear" w:color="auto" w:fill="F7F0FB"/>
          </w:tcPr>
          <w:p>
            <w:pPr>
              <w:spacing w:before="60" w:after="60"/>
            </w:pPr>
            <w:r>
              <w:t>Beide Schritte benannt.</w:t>
            </w:r>
          </w:p>
        </w:tc>
      </w:tr>
      <w:tr>
        <w:trPr>
          <w:cantSplit w:val="true"/>
        </w:trPr>
        <w:tc>
          <w:tcPr>
            <w:tcW w:type="dxa" w:w="2041"/>
          </w:tcPr>
          <w:p>
            <w:pPr>
              <w:spacing w:before="60" w:after="60"/>
            </w:pPr>
            <w:r>
              <w:rPr>
                <w:b/>
              </w:rPr>
              <w:t>Die nächste Maßnahme für den Zahlungslauf genannt</w:t>
            </w:r>
          </w:p>
        </w:tc>
        <w:tc>
          <w:tcPr>
            <w:tcW w:type="dxa" w:w="1814"/>
          </w:tcPr>
          <w:p>
            <w:pPr>
              <w:spacing w:before="60" w:after="60"/>
            </w:pPr>
            <w:r>
              <w:t>Lässt die Zahlung unverändert</w:t>
            </w:r>
          </w:p>
        </w:tc>
        <w:tc>
          <w:tcPr>
            <w:tcW w:type="dxa" w:w="1814"/>
          </w:tcPr>
          <w:p>
            <w:pPr>
              <w:spacing w:before="60" w:after="60"/>
            </w:pPr>
            <w:r>
              <w:t>Hält die Zahlung zurück, bis die Änderung verifiziert ist</w:t>
            </w:r>
          </w:p>
        </w:tc>
        <w:tc>
          <w:tcPr>
            <w:tcW w:type="dxa" w:w="1814"/>
          </w:tcPr>
          <w:p>
            <w:pPr>
              <w:spacing w:before="60" w:after="60"/>
            </w:pPr>
            <w:r>
              <w:t>Nennt zusätzlich, wen man wann informiert</w:t>
            </w:r>
          </w:p>
        </w:tc>
        <w:tc>
          <w:tcPr>
            <w:tcW w:type="dxa" w:w="2154"/>
          </w:tcPr>
          <w:p>
            <w:pPr>
              <w:spacing w:before="60" w:after="60"/>
            </w:pPr>
            <w:r>
              <w:t>Zahlung zurückgehalten und den Freigebenden informiert.</w:t>
            </w:r>
          </w:p>
        </w:tc>
      </w:tr>
    </w:tbl>
    <w:p>
      <w:pPr>
        <w:spacing w:before="160"/>
      </w:pPr>
      <w:r>
        <w:t>Diese Beschreibungen sind Anregungen für schriftliches Feedback. Addieren Sie sie nicht zu einem Punktwert: Eine Entscheidung, die den Datensatz prüft, die Rechnung aber trotzdem bezahlt, hat den Fall nicht bestanden.</w:t>
      </w:r>
    </w:p>
    <w:p>
      <w:pPr>
        <w:keepNext/>
        <w:spacing w:before="240" w:after="80"/>
      </w:pPr>
      <w:r>
        <w:rPr>
          <w:b/>
          <w:color w:val="5D008F"/>
          <w:sz w:val="28"/>
        </w:rPr>
        <w:t>Beispiel: meine Checkliste für die nächste Anfrage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Meine Prüfung</w:t>
            </w:r>
          </w:p>
        </w:tc>
        <w:tc>
          <w:tcPr>
            <w:tcW w:type="dxa" w:w="4819"/>
            <w:shd w:val="clear" w:color="auto" w:fill="5D008F"/>
          </w:tcPr>
          <w:p>
            <w:pPr>
              <w:spacing w:before="60" w:after="60"/>
            </w:pPr>
            <w:r/>
            <w:r>
              <w:rPr>
                <w:b/>
                <w:color w:val="FFFFFF"/>
              </w:rPr>
              <w:t>Warum</w:t>
            </w:r>
          </w:p>
        </w:tc>
      </w:tr>
      <w:tr>
        <w:trPr>
          <w:cantSplit w:val="true"/>
        </w:trPr>
        <w:tc>
          <w:tcPr>
            <w:tcW w:type="dxa" w:w="4819"/>
          </w:tcPr>
          <w:p>
            <w:pPr>
              <w:spacing w:before="60" w:after="60"/>
            </w:pPr>
            <w:r>
              <w:rPr>
                <w:b/>
              </w:rPr>
              <w:t>Die Absenderadresse mit dem Ansprechpartner im Lieferantenstamm Buchstabe für Buchstabe vergleichen</w:t>
            </w:r>
          </w:p>
        </w:tc>
        <w:tc>
          <w:tcPr>
            <w:tcW w:type="dxa" w:w="4819"/>
          </w:tcPr>
          <w:p>
            <w:pPr>
              <w:spacing w:before="60" w:after="60"/>
            </w:pPr>
            <w:r>
              <w:t>Eine fast identische Domain wirkt auf den ersten Blick richtig</w:t>
            </w:r>
          </w:p>
        </w:tc>
      </w:tr>
      <w:tr>
        <w:trPr>
          <w:cantSplit w:val="true"/>
        </w:trPr>
        <w:tc>
          <w:tcPr>
            <w:tcW w:type="dxa" w:w="4819"/>
            <w:shd w:val="clear" w:color="auto" w:fill="F7F0FB"/>
          </w:tcPr>
          <w:p>
            <w:pPr>
              <w:spacing w:before="60" w:after="60"/>
            </w:pPr>
            <w:r>
              <w:rPr>
                <w:b/>
              </w:rPr>
              <w:t>Den Änderungsverlauf dieses Lieferanten ansehen</w:t>
            </w:r>
          </w:p>
        </w:tc>
        <w:tc>
          <w:tcPr>
            <w:tcW w:type="dxa" w:w="4819"/>
            <w:shd w:val="clear" w:color="auto" w:fill="F7F0FB"/>
          </w:tcPr>
          <w:p>
            <w:pPr>
              <w:spacing w:before="60" w:after="60"/>
            </w:pPr>
            <w:r>
              <w:t>Eine erste Änderung seit Jahren verdient einen genaueren Blick</w:t>
            </w:r>
          </w:p>
        </w:tc>
      </w:tr>
      <w:tr>
        <w:trPr>
          <w:cantSplit w:val="true"/>
        </w:trPr>
        <w:tc>
          <w:tcPr>
            <w:tcW w:type="dxa" w:w="4819"/>
          </w:tcPr>
          <w:p>
            <w:pPr>
              <w:spacing w:before="60" w:after="60"/>
            </w:pPr>
            <w:r>
              <w:rPr>
                <w:b/>
              </w:rPr>
              <w:t>Die bereits hinterlegte Nummer anrufen, nie eine aus der Anfrage</w:t>
            </w:r>
          </w:p>
        </w:tc>
        <w:tc>
          <w:tcPr>
            <w:tcW w:type="dxa" w:w="4819"/>
          </w:tcPr>
          <w:p>
            <w:pPr>
              <w:spacing w:before="60" w:after="60"/>
            </w:pPr>
            <w:r>
              <w:t>Die Verfahrensanweisung verlangt es, und die Nummer in der Anfrage könnte dem Betrüger gehören</w:t>
            </w:r>
          </w:p>
        </w:tc>
      </w:tr>
      <w:tr>
        <w:trPr>
          <w:cantSplit w:val="true"/>
        </w:trPr>
        <w:tc>
          <w:tcPr>
            <w:tcW w:type="dxa" w:w="4819"/>
            <w:shd w:val="clear" w:color="auto" w:fill="F7F0FB"/>
          </w:tcPr>
          <w:p>
            <w:pPr>
              <w:spacing w:before="60" w:after="60"/>
            </w:pPr>
            <w:r>
              <w:rPr>
                <w:b/>
              </w:rPr>
              <w:t>Vor der nächsten Zahlung die Freigabe einer zweiten Person einholen</w:t>
            </w:r>
          </w:p>
        </w:tc>
        <w:tc>
          <w:tcPr>
            <w:tcW w:type="dxa" w:w="4819"/>
            <w:shd w:val="clear" w:color="auto" w:fill="F7F0FB"/>
          </w:tcPr>
          <w:p>
            <w:pPr>
              <w:spacing w:before="60" w:after="60"/>
            </w:pPr>
            <w:r>
              <w:t>Die Verfahrensanweisung verlangt es</w:t>
            </w:r>
          </w:p>
        </w:tc>
      </w:tr>
      <w:tr>
        <w:trPr>
          <w:cantSplit w:val="true"/>
        </w:trPr>
        <w:tc>
          <w:tcPr>
            <w:tcW w:type="dxa" w:w="4819"/>
          </w:tcPr>
          <w:p>
            <w:pPr>
              <w:spacing w:before="60" w:after="60"/>
            </w:pPr>
            <w:r>
              <w:rPr>
                <w:b/>
              </w:rPr>
              <w:t>Jede fällige Zahlung zurückhalten, bis die Änderung verifiziert ist</w:t>
            </w:r>
          </w:p>
        </w:tc>
        <w:tc>
          <w:tcPr>
            <w:tcW w:type="dxa" w:w="4819"/>
          </w:tcPr>
          <w:p>
            <w:pPr>
              <w:spacing w:before="60" w:after="60"/>
            </w:pPr>
            <w:r>
              <w:t>Eine geleistete Zahlung lässt sich nicht leicht rückgängig machen</w:t>
            </w:r>
          </w:p>
        </w:tc>
      </w:tr>
    </w:tbl>
    <w:p>
      <w:pPr>
        <w:keepNext/>
        <w:pageBreakBefore/>
        <w:spacing w:before="240" w:after="80"/>
      </w:pPr>
      <w:r>
        <w:rPr>
          <w:b/>
          <w:color w:val="5D008F"/>
          <w:sz w:val="28"/>
        </w:rPr>
        <w:t>Ihr Fall: erste und endgültige Antwort</w:t>
      </w:r>
    </w:p>
    <w:p>
      <w:r>
        <w:t>Fall: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Ihre Antwort</w:t>
            </w:r>
          </w:p>
        </w:tc>
      </w:tr>
      <w:tr>
        <w:trPr>
          <w:cantSplit w:val="true"/>
          <w:trHeight w:val="2154"/>
        </w:trPr>
        <w:tc>
          <w:tcPr>
            <w:tcW w:type="dxa" w:w="1984"/>
          </w:tcPr>
          <w:p>
            <w:pPr>
              <w:spacing w:before="60" w:after="60"/>
            </w:pPr>
            <w:r>
              <w:rPr>
                <w:b/>
              </w:rPr>
              <w:t>Erste Antwort</w:t>
            </w:r>
          </w:p>
        </w:tc>
        <w:tc>
          <w:tcPr>
            <w:tcW w:type="dxa" w:w="7654"/>
          </w:tcPr>
          <w:p>
            <w:pPr>
              <w:spacing w:before="60" w:after="60"/>
            </w:pPr>
            <w:r/>
          </w:p>
        </w:tc>
      </w:tr>
      <w:tr>
        <w:trPr>
          <w:cantSplit w:val="true"/>
          <w:trHeight w:val="2154"/>
        </w:trPr>
        <w:tc>
          <w:tcPr>
            <w:tcW w:type="dxa" w:w="1984"/>
            <w:shd w:val="clear" w:color="auto" w:fill="F7F0FB"/>
          </w:tcPr>
          <w:p>
            <w:pPr>
              <w:spacing w:before="60" w:after="60"/>
            </w:pPr>
            <w:r>
              <w:rPr>
                <w:b/>
              </w:rPr>
              <w:t>Endgültige Antwort</w:t>
            </w:r>
          </w:p>
        </w:tc>
        <w:tc>
          <w:tcPr>
            <w:tcW w:type="dxa" w:w="7654"/>
            <w:shd w:val="clear" w:color="auto" w:fill="F7F0FB"/>
          </w:tcPr>
          <w:p>
            <w:pPr>
              <w:spacing w:before="60" w:after="60"/>
            </w:pPr>
            <w:r/>
          </w:p>
        </w:tc>
      </w:tr>
      <w:tr>
        <w:trPr>
          <w:cantSplit w:val="true"/>
          <w:trHeight w:val="2154"/>
        </w:trPr>
        <w:tc>
          <w:tcPr>
            <w:tcW w:type="dxa" w:w="1984"/>
          </w:tcPr>
          <w:p>
            <w:pPr>
              <w:spacing w:before="60" w:after="60"/>
            </w:pPr>
            <w:r>
              <w:rPr>
                <w:b/>
              </w:rPr>
              <w:t>Was sich in meiner Begründung verändert hat</w:t>
            </w:r>
          </w:p>
        </w:tc>
        <w:tc>
          <w:tcPr>
            <w:tcW w:type="dxa" w:w="7654"/>
          </w:tcPr>
          <w:p>
            <w:pPr>
              <w:spacing w:before="60" w:after="60"/>
            </w:pPr>
            <w:r/>
          </w:p>
        </w:tc>
      </w:tr>
    </w:tbl>
    <w:p>
      <w:pPr>
        <w:keepNext/>
        <w:pageBreakBefore/>
        <w:spacing w:before="240" w:after="80"/>
      </w:pPr>
      <w:r>
        <w:rPr>
          <w:b/>
          <w:color w:val="5D008F"/>
          <w:sz w:val="28"/>
        </w:rPr>
        <w:t>Ihr Fall: Begründungen von Kollegen vergleichen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Entscheidung der Kollegin oder des Kollegen</w:t>
            </w:r>
          </w:p>
        </w:tc>
        <w:tc>
          <w:tcPr>
            <w:tcW w:type="dxa" w:w="3685"/>
            <w:shd w:val="clear" w:color="auto" w:fill="5D008F"/>
          </w:tcPr>
          <w:p>
            <w:pPr>
              <w:spacing w:before="60" w:after="60"/>
            </w:pPr>
            <w:r/>
            <w:r>
              <w:rPr>
                <w:b/>
                <w:color w:val="FFFFFF"/>
              </w:rPr>
              <w:t>Begründung</w:t>
            </w:r>
          </w:p>
        </w:tc>
        <w:tc>
          <w:tcPr>
            <w:tcW w:type="dxa" w:w="3685"/>
            <w:shd w:val="clear" w:color="auto" w:fill="5D008F"/>
          </w:tcPr>
          <w:p>
            <w:pPr>
              <w:spacing w:before="60" w:after="60"/>
            </w:pPr>
            <w:r/>
            <w:r>
              <w:rPr>
                <w:b/>
                <w:color w:val="FFFFFF"/>
              </w:rPr>
              <w:t>Stimme ich zu, und warum?</w:t>
            </w:r>
          </w:p>
        </w:tc>
      </w:tr>
      <w:tr>
        <w:trPr>
          <w:cantSplit w:val="true"/>
          <w:trHeight w:val="1814"/>
        </w:trPr>
        <w:tc>
          <w:tcPr>
            <w:tcW w:type="dxa" w:w="2268"/>
          </w:tcPr>
          <w:p>
            <w:pPr>
              <w:spacing w:before="60" w:after="60"/>
            </w:pPr>
            <w:r>
              <w:rPr>
                <w:b/>
              </w:rPr>
            </w:r>
          </w:p>
        </w:tc>
        <w:tc>
          <w:tcPr>
            <w:tcW w:type="dxa" w:w="3685"/>
          </w:tcPr>
          <w:p>
            <w:pPr>
              <w:spacing w:before="60" w:after="60"/>
            </w:pPr>
            <w:r/>
          </w:p>
        </w:tc>
        <w:tc>
          <w:tcPr>
            <w:tcW w:type="dxa" w:w="3685"/>
          </w:tcPr>
          <w:p>
            <w:pPr>
              <w:spacing w:before="60" w:after="60"/>
            </w:pPr>
            <w:r/>
          </w:p>
        </w:tc>
      </w:tr>
      <w:tr>
        <w:trPr>
          <w:cantSplit w:val="true"/>
          <w:trHeight w:val="1814"/>
        </w:trPr>
        <w:tc>
          <w:tcPr>
            <w:tcW w:type="dxa" w:w="2268"/>
            <w:shd w:val="clear" w:color="auto" w:fill="F7F0FB"/>
          </w:tcPr>
          <w:p>
            <w:pPr>
              <w:spacing w:before="60" w:after="60"/>
            </w:pPr>
            <w:r>
              <w:rPr>
                <w:b/>
              </w:rPr>
            </w:r>
          </w:p>
        </w:tc>
        <w:tc>
          <w:tcPr>
            <w:tcW w:type="dxa" w:w="3685"/>
            <w:shd w:val="clear" w:color="auto" w:fill="F7F0FB"/>
          </w:tcPr>
          <w:p>
            <w:pPr>
              <w:spacing w:before="60" w:after="60"/>
            </w:pPr>
            <w:r/>
          </w:p>
        </w:tc>
        <w:tc>
          <w:tcPr>
            <w:tcW w:type="dxa" w:w="3685"/>
            <w:shd w:val="clear" w:color="auto" w:fill="F7F0FB"/>
          </w:tcPr>
          <w:p>
            <w:pPr>
              <w:spacing w:before="60" w:after="60"/>
            </w:pPr>
            <w:r/>
          </w:p>
        </w:tc>
      </w:tr>
    </w:tbl>
    <w:p>
      <w:pPr>
        <w:keepNext/>
        <w:spacing w:before="240" w:after="80"/>
      </w:pPr>
      <w:r>
        <w:rPr>
          <w:b/>
          <w:color w:val="5D008F"/>
          <w:sz w:val="28"/>
        </w:rPr>
        <w:t>Ihr Fall: die endgültige Entscheidung prüfen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Kriterium</w:t>
            </w:r>
          </w:p>
        </w:tc>
        <w:tc>
          <w:tcPr>
            <w:tcW w:type="dxa" w:w="1814"/>
            <w:shd w:val="clear" w:color="auto" w:fill="5D008F"/>
          </w:tcPr>
          <w:p>
            <w:pPr>
              <w:spacing w:before="60" w:after="60"/>
            </w:pPr>
            <w:r/>
            <w:r>
              <w:rPr>
                <w:b/>
                <w:color w:val="FFFFFF"/>
              </w:rPr>
              <w:t>Noch nicht</w:t>
            </w:r>
          </w:p>
        </w:tc>
        <w:tc>
          <w:tcPr>
            <w:tcW w:type="dxa" w:w="1814"/>
            <w:shd w:val="clear" w:color="auto" w:fill="5D008F"/>
          </w:tcPr>
          <w:p>
            <w:pPr>
              <w:spacing w:before="60" w:after="60"/>
            </w:pPr>
            <w:r/>
            <w:r>
              <w:rPr>
                <w:b/>
                <w:color w:val="FFFFFF"/>
              </w:rPr>
              <w:t>Erfüllt</w:t>
            </w:r>
          </w:p>
        </w:tc>
        <w:tc>
          <w:tcPr>
            <w:tcW w:type="dxa" w:w="1814"/>
            <w:shd w:val="clear" w:color="auto" w:fill="5D008F"/>
          </w:tcPr>
          <w:p>
            <w:pPr>
              <w:spacing w:before="60" w:after="60"/>
            </w:pPr>
            <w:r/>
            <w:r>
              <w:rPr>
                <w:b/>
                <w:color w:val="FFFFFF"/>
              </w:rPr>
              <w:t>Geht darüber hinaus</w:t>
            </w:r>
          </w:p>
        </w:tc>
        <w:tc>
          <w:tcPr>
            <w:tcW w:type="dxa" w:w="2154"/>
            <w:shd w:val="clear" w:color="auto" w:fill="5D008F"/>
          </w:tcPr>
          <w:p>
            <w:pPr>
              <w:spacing w:before="60" w:after="60"/>
            </w:pPr>
            <w:r/>
            <w:r>
              <w:rPr>
                <w:b/>
                <w:color w:val="FFFFFF"/>
              </w:rPr>
              <w:t>Feedback-Notiz</w:t>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r>
        <w:trPr>
          <w:cantSplit w:val="true"/>
          <w:trHeight w:val="1361"/>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154"/>
            <w:shd w:val="clear" w:color="auto" w:fill="F7F0FB"/>
          </w:tcPr>
          <w:p>
            <w:pPr>
              <w:spacing w:before="60" w:after="60"/>
            </w:pPr>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bl>
    <w:p>
      <w:pPr>
        <w:keepNext/>
        <w:pageBreakBefore/>
        <w:spacing w:before="240" w:after="80"/>
      </w:pPr>
      <w:r>
        <w:rPr>
          <w:b/>
          <w:color w:val="5D008F"/>
          <w:sz w:val="28"/>
        </w:rPr>
        <w:t>Ihre Checkliste für den nächsten Fall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Meine Prüfung</w:t>
            </w:r>
          </w:p>
        </w:tc>
        <w:tc>
          <w:tcPr>
            <w:tcW w:type="dxa" w:w="4819"/>
            <w:shd w:val="clear" w:color="auto" w:fill="5D008F"/>
          </w:tcPr>
          <w:p>
            <w:pPr>
              <w:spacing w:before="60" w:after="60"/>
            </w:pPr>
            <w:r/>
            <w:r>
              <w:rPr>
                <w:b/>
                <w:color w:val="FFFFFF"/>
              </w:rPr>
              <w:t>Warum</w:t>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bl>
    <w:p>
      <w:pPr>
        <w:spacing w:before="160"/>
      </w:pPr>
      <w:r>
        <w:rPr>
          <w:i/>
          <w:color w:val="5A5766"/>
        </w:rPr>
        <w:t>Eigene Adaption von Coursebox der Artikulations- und Reflexionsmethoden, die beschrieben sind in Collins, A., Brown, J. S. und Holum, A. (1991) Cognitive apprenticeship: Making thinking visible. American Educator, 15(3). Die Kriterienbeschreibungen sind Planungsanregungen, keine validierte Bewertungsmatrix, und dieses Arbeitsblatt ergibt keinen Punktwert. Prüfen Sie im Arbeitsalltag, ob die Checkliste verwendet wird.</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