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Team Leader Discussion Guide for a Mandatory Refresher</w:t>
      </w:r>
    </w:p>
    <w:p>
      <w:r>
        <w:rPr>
          <w:color w:val="5A5766"/>
          <w:sz w:val="22"/>
        </w:rPr>
        <w:t>A 15-minute team discussion that supports autonomy, competence and relatedness after a mandatory course: acknowledge the 'not this again' feeling, share your own example, ask before you tell, and close with one commitment each. Adapted by Coursebox from the autonomy-supportive behaviours described by Gagné and Deci (2005) and Reeve and Cheon (2021), and the manager training studies of Deci, Connell and Ryan (1989) and Tafvelin and colleagues (2019). A conversation aid, not a validated instrument: it gives no score. A hypothetical council discussion is filled in as an example.</w:t>
      </w:r>
    </w:p>
    <w:p>
      <w:r>
        <w:rPr>
          <w:i/>
          <w:color w:val="5A5766"/>
          <w:sz w:val="18"/>
        </w:rPr>
        <w:t>From the Coursebox blog: coursebox.ai/blog/what-is-self-determination-theory-sdt-in-elearning</w:t>
      </w:r>
    </w:p>
    <w:p>
      <w:pPr>
        <w:keepNext/>
        <w:spacing w:before="240" w:after="80"/>
      </w:pPr>
      <w:r>
        <w:rPr>
          <w:b/>
          <w:color w:val="5D008F"/>
          <w:sz w:val="28"/>
        </w:rPr>
        <w:t>How to use this guide</w:t>
      </w:r>
    </w:p>
    <w:p>
      <w:pPr>
        <w:pStyle w:val="ListBullet"/>
      </w:pPr>
      <w:r>
        <w:t>Run the discussion within two weeks of the team finishing the online refresher, in a normal team meeting.</w:t>
      </w:r>
    </w:p>
    <w:p>
      <w:pPr>
        <w:pStyle w:val="ListBullet"/>
      </w:pPr>
      <w:r>
        <w:t>Pick one anonymised grey-area case from your team's own work. Remove names and anything that identifies a person or a specific incident.</w:t>
      </w:r>
    </w:p>
    <w:p>
      <w:pPr>
        <w:pStyle w:val="ListBullet"/>
      </w:pPr>
      <w:r>
        <w:t>Bring one declaration you have made yourself. It shows that declaring is normal, not a sign that someone did something wrong.</w:t>
      </w:r>
    </w:p>
    <w:p>
      <w:pPr>
        <w:pStyle w:val="ListBullet"/>
      </w:pPr>
      <w:r>
        <w:t>Ask before you tell. Your job is to get people talking about how they would handle the case, then make sure the policy facts are clear.</w:t>
      </w:r>
    </w:p>
    <w:p>
      <w:pPr>
        <w:pStyle w:val="ListBullet"/>
      </w:pPr>
      <w:r>
        <w:t>Nobody is graded or reported on what they say in the discussion.</w:t>
      </w:r>
    </w:p>
    <w:p>
      <w:pPr>
        <w:pStyle w:val="ListBullet"/>
      </w:pPr>
      <w:r>
        <w:t>Afterwards, note any question you need to take to the integrity team, and tell your manager how it went.</w:t>
      </w:r>
    </w:p>
    <w:p>
      <w:pPr>
        <w:keepNext/>
        <w:spacing w:before="240" w:after="80"/>
      </w:pPr>
      <w:r>
        <w:rPr>
          <w:b/>
          <w:color w:val="5D008F"/>
          <w:sz w:val="28"/>
        </w:rPr>
        <w:t>The 15-minute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020"/>
            <w:shd w:val="clear" w:color="auto" w:fill="5D008F"/>
          </w:tcPr>
          <w:p>
            <w:pPr>
              <w:spacing w:before="60" w:after="60"/>
            </w:pPr>
            <w:r/>
            <w:r>
              <w:rPr>
                <w:b/>
                <w:color w:val="FFFFFF"/>
              </w:rPr>
              <w:t>Time</w:t>
            </w:r>
          </w:p>
        </w:tc>
        <w:tc>
          <w:tcPr>
            <w:tcW w:type="dxa" w:w="2098"/>
            <w:shd w:val="clear" w:color="auto" w:fill="5D008F"/>
          </w:tcPr>
          <w:p>
            <w:pPr>
              <w:spacing w:before="60" w:after="60"/>
            </w:pPr>
            <w:r/>
            <w:r>
              <w:rPr>
                <w:b/>
                <w:color w:val="FFFFFF"/>
              </w:rPr>
              <w:t>Purpose</w:t>
            </w:r>
          </w:p>
        </w:tc>
        <w:tc>
          <w:tcPr>
            <w:tcW w:type="dxa" w:w="6520"/>
            <w:shd w:val="clear" w:color="auto" w:fill="5D008F"/>
          </w:tcPr>
          <w:p>
            <w:pPr>
              <w:spacing w:before="60" w:after="60"/>
            </w:pPr>
            <w:r/>
            <w:r>
              <w:rPr>
                <w:b/>
                <w:color w:val="FFFFFF"/>
              </w:rPr>
              <w:t>What to say or ask</w:t>
            </w:r>
          </w:p>
        </w:tc>
      </w:tr>
      <w:tr>
        <w:trPr>
          <w:cantSplit w:val="true"/>
        </w:trPr>
        <w:tc>
          <w:tcPr>
            <w:tcW w:type="dxa" w:w="1020"/>
          </w:tcPr>
          <w:p>
            <w:pPr>
              <w:spacing w:before="60" w:after="60"/>
            </w:pPr>
            <w:r>
              <w:rPr>
                <w:b/>
              </w:rPr>
              <w:t>2 min</w:t>
            </w:r>
          </w:p>
        </w:tc>
        <w:tc>
          <w:tcPr>
            <w:tcW w:type="dxa" w:w="2098"/>
          </w:tcPr>
          <w:p>
            <w:pPr>
              <w:spacing w:before="60" w:after="60"/>
            </w:pPr>
            <w:r>
              <w:t>Open and acknowledge</w:t>
            </w:r>
          </w:p>
        </w:tc>
        <w:tc>
          <w:tcPr>
            <w:tcW w:type="dxa" w:w="6520"/>
          </w:tcPr>
          <w:p>
            <w:pPr>
              <w:spacing w:before="60" w:after="60"/>
            </w:pPr>
            <w:r>
              <w:t>Most of us have done this refresher before, and it can feel like the same thing every year. I want to use 15 minutes on the cases that are hard to call, because that is where declarations get missed.</w:t>
            </w:r>
          </w:p>
        </w:tc>
      </w:tr>
      <w:tr>
        <w:trPr>
          <w:cantSplit w:val="true"/>
        </w:trPr>
        <w:tc>
          <w:tcPr>
            <w:tcW w:type="dxa" w:w="1020"/>
            <w:shd w:val="clear" w:color="auto" w:fill="F7F0FB"/>
          </w:tcPr>
          <w:p>
            <w:pPr>
              <w:spacing w:before="60" w:after="60"/>
            </w:pPr>
            <w:r>
              <w:rPr>
                <w:b/>
              </w:rPr>
              <w:t>3 min</w:t>
            </w:r>
          </w:p>
        </w:tc>
        <w:tc>
          <w:tcPr>
            <w:tcW w:type="dxa" w:w="2098"/>
            <w:shd w:val="clear" w:color="auto" w:fill="F7F0FB"/>
          </w:tcPr>
          <w:p>
            <w:pPr>
              <w:spacing w:before="60" w:after="60"/>
            </w:pPr>
            <w:r>
              <w:t>Share your own declaration</w:t>
            </w:r>
          </w:p>
        </w:tc>
        <w:tc>
          <w:tcPr>
            <w:tcW w:type="dxa" w:w="6520"/>
            <w:shd w:val="clear" w:color="auto" w:fill="F7F0FB"/>
          </w:tcPr>
          <w:p>
            <w:pPr>
              <w:spacing w:before="60" w:after="60"/>
            </w:pPr>
            <w:r>
              <w:t>Describe a gift, benefit or interest you declared, why you declared it and what happened next.</w:t>
            </w:r>
          </w:p>
        </w:tc>
      </w:tr>
      <w:tr>
        <w:trPr>
          <w:cantSplit w:val="true"/>
        </w:trPr>
        <w:tc>
          <w:tcPr>
            <w:tcW w:type="dxa" w:w="1020"/>
          </w:tcPr>
          <w:p>
            <w:pPr>
              <w:spacing w:before="60" w:after="60"/>
            </w:pPr>
            <w:r>
              <w:rPr>
                <w:b/>
              </w:rPr>
              <w:t>6 min</w:t>
            </w:r>
          </w:p>
        </w:tc>
        <w:tc>
          <w:tcPr>
            <w:tcW w:type="dxa" w:w="2098"/>
          </w:tcPr>
          <w:p>
            <w:pPr>
              <w:spacing w:before="60" w:after="60"/>
            </w:pPr>
            <w:r>
              <w:t>Work through the case</w:t>
            </w:r>
          </w:p>
        </w:tc>
        <w:tc>
          <w:tcPr>
            <w:tcW w:type="dxa" w:w="6520"/>
          </w:tcPr>
          <w:p>
            <w:pPr>
              <w:spacing w:before="60" w:after="60"/>
            </w:pPr>
            <w:r>
              <w:t>Read out the case facts. How would you handle this? What makes it hard to call? What would a resident think if they found out later?</w:t>
            </w:r>
          </w:p>
        </w:tc>
      </w:tr>
      <w:tr>
        <w:trPr>
          <w:cantSplit w:val="true"/>
        </w:trPr>
        <w:tc>
          <w:tcPr>
            <w:tcW w:type="dxa" w:w="1020"/>
            <w:shd w:val="clear" w:color="auto" w:fill="F7F0FB"/>
          </w:tcPr>
          <w:p>
            <w:pPr>
              <w:spacing w:before="60" w:after="60"/>
            </w:pPr>
            <w:r>
              <w:rPr>
                <w:b/>
              </w:rPr>
              <w:t>2 min</w:t>
            </w:r>
          </w:p>
        </w:tc>
        <w:tc>
          <w:tcPr>
            <w:tcW w:type="dxa" w:w="2098"/>
            <w:shd w:val="clear" w:color="auto" w:fill="F7F0FB"/>
          </w:tcPr>
          <w:p>
            <w:pPr>
              <w:spacing w:before="60" w:after="60"/>
            </w:pPr>
            <w:r>
              <w:t>Check the facts</w:t>
            </w:r>
          </w:p>
        </w:tc>
        <w:tc>
          <w:tcPr>
            <w:tcW w:type="dxa" w:w="6520"/>
            <w:shd w:val="clear" w:color="auto" w:fill="F7F0FB"/>
          </w:tcPr>
          <w:p>
            <w:pPr>
              <w:spacing w:before="60" w:after="60"/>
            </w:pPr>
            <w:r>
              <w:t>Confirm the policy: declare any gift or benefit offered, even if declined, and any private interest that could affect your work or look as if it could, on the form to your team leader within 5 working days.</w:t>
            </w:r>
          </w:p>
        </w:tc>
      </w:tr>
      <w:tr>
        <w:trPr>
          <w:cantSplit w:val="true"/>
        </w:trPr>
        <w:tc>
          <w:tcPr>
            <w:tcW w:type="dxa" w:w="1020"/>
          </w:tcPr>
          <w:p>
            <w:pPr>
              <w:spacing w:before="60" w:after="60"/>
            </w:pPr>
            <w:r>
              <w:rPr>
                <w:b/>
              </w:rPr>
              <w:t>2 min</w:t>
            </w:r>
          </w:p>
        </w:tc>
        <w:tc>
          <w:tcPr>
            <w:tcW w:type="dxa" w:w="2098"/>
          </w:tcPr>
          <w:p>
            <w:pPr>
              <w:spacing w:before="60" w:after="60"/>
            </w:pPr>
            <w:r>
              <w:t>Close</w:t>
            </w:r>
          </w:p>
        </w:tc>
        <w:tc>
          <w:tcPr>
            <w:tcW w:type="dxa" w:w="6520"/>
          </w:tcPr>
          <w:p>
            <w:pPr>
              <w:spacing w:before="60" w:after="60"/>
            </w:pPr>
            <w:r>
              <w:t>Ask each person: is there anything you have been offered, or any interest you have, that you want to check with me this week?</w:t>
            </w:r>
          </w:p>
        </w:tc>
      </w:tr>
    </w:tbl>
    <w:p>
      <w:pPr>
        <w:spacing w:before="160"/>
      </w:pPr>
      <w:r>
        <w:rPr>
          <w:i/>
          <w:color w:val="5A5766"/>
        </w:rPr>
        <w:t>Suggested timings, not a research finding. Adjust for your team.</w:t>
      </w:r>
    </w:p>
    <w:p>
      <w:pPr>
        <w:keepNext/>
        <w:pageBreakBefore/>
        <w:spacing w:before="240" w:after="80"/>
      </w:pPr>
      <w:r>
        <w:rPr>
          <w:b/>
          <w:color w:val="5D008F"/>
          <w:sz w:val="28"/>
        </w:rPr>
        <w:t>Ask instead of tell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535"/>
            <w:shd w:val="clear" w:color="auto" w:fill="5D008F"/>
          </w:tcPr>
          <w:p>
            <w:pPr>
              <w:spacing w:before="60" w:after="60"/>
            </w:pPr>
            <w:r/>
            <w:r>
              <w:rPr>
                <w:b/>
                <w:color w:val="FFFFFF"/>
              </w:rPr>
              <w:t>Instead of telling</w:t>
            </w:r>
          </w:p>
        </w:tc>
        <w:tc>
          <w:tcPr>
            <w:tcW w:type="dxa" w:w="5102"/>
            <w:shd w:val="clear" w:color="auto" w:fill="5D008F"/>
          </w:tcPr>
          <w:p>
            <w:pPr>
              <w:spacing w:before="60" w:after="60"/>
            </w:pPr>
            <w:r/>
            <w:r>
              <w:rPr>
                <w:b/>
                <w:color w:val="FFFFFF"/>
              </w:rPr>
              <w:t>Ask</w:t>
            </w:r>
          </w:p>
        </w:tc>
      </w:tr>
      <w:tr>
        <w:trPr>
          <w:cantSplit w:val="true"/>
        </w:trPr>
        <w:tc>
          <w:tcPr>
            <w:tcW w:type="dxa" w:w="4535"/>
          </w:tcPr>
          <w:p>
            <w:pPr>
              <w:spacing w:before="60" w:after="60"/>
            </w:pPr>
            <w:r>
              <w:rPr>
                <w:b/>
              </w:rPr>
              <w:t>That's a conflict of interest, you need to declare it.</w:t>
            </w:r>
          </w:p>
        </w:tc>
        <w:tc>
          <w:tcPr>
            <w:tcW w:type="dxa" w:w="5102"/>
          </w:tcPr>
          <w:p>
            <w:pPr>
              <w:spacing w:before="60" w:after="60"/>
            </w:pPr>
            <w:r>
              <w:t>What could this look like to someone outside the team?</w:t>
            </w:r>
          </w:p>
        </w:tc>
      </w:tr>
      <w:tr>
        <w:trPr>
          <w:cantSplit w:val="true"/>
        </w:trPr>
        <w:tc>
          <w:tcPr>
            <w:tcW w:type="dxa" w:w="4535"/>
            <w:shd w:val="clear" w:color="auto" w:fill="F7F0FB"/>
          </w:tcPr>
          <w:p>
            <w:pPr>
              <w:spacing w:before="60" w:after="60"/>
            </w:pPr>
            <w:r>
              <w:rPr>
                <w:b/>
              </w:rPr>
              <w:t>The rule says you can't accept it.</w:t>
            </w:r>
          </w:p>
        </w:tc>
        <w:tc>
          <w:tcPr>
            <w:tcW w:type="dxa" w:w="5102"/>
            <w:shd w:val="clear" w:color="auto" w:fill="F7F0FB"/>
          </w:tcPr>
          <w:p>
            <w:pPr>
              <w:spacing w:before="60" w:after="60"/>
            </w:pPr>
            <w:r>
              <w:t>What does the policy say about gifts you decline? Does that change anything here?</w:t>
            </w:r>
          </w:p>
        </w:tc>
      </w:tr>
      <w:tr>
        <w:trPr>
          <w:cantSplit w:val="true"/>
        </w:trPr>
        <w:tc>
          <w:tcPr>
            <w:tcW w:type="dxa" w:w="4535"/>
          </w:tcPr>
          <w:p>
            <w:pPr>
              <w:spacing w:before="60" w:after="60"/>
            </w:pPr>
            <w:r>
              <w:rPr>
                <w:b/>
              </w:rPr>
              <w:t>You should have told me earlier.</w:t>
            </w:r>
          </w:p>
        </w:tc>
        <w:tc>
          <w:tcPr>
            <w:tcW w:type="dxa" w:w="5102"/>
          </w:tcPr>
          <w:p>
            <w:pPr>
              <w:spacing w:before="60" w:after="60"/>
            </w:pPr>
            <w:r>
              <w:t>What would make it easier to raise something like this sooner?</w:t>
            </w:r>
          </w:p>
        </w:tc>
      </w:tr>
      <w:tr>
        <w:trPr>
          <w:cantSplit w:val="true"/>
        </w:trPr>
        <w:tc>
          <w:tcPr>
            <w:tcW w:type="dxa" w:w="4535"/>
            <w:shd w:val="clear" w:color="auto" w:fill="F7F0FB"/>
          </w:tcPr>
          <w:p>
            <w:pPr>
              <w:spacing w:before="60" w:after="60"/>
            </w:pPr>
            <w:r>
              <w:rPr>
                <w:b/>
              </w:rPr>
              <w:t>Just declare everything to be safe.</w:t>
            </w:r>
          </w:p>
        </w:tc>
        <w:tc>
          <w:tcPr>
            <w:tcW w:type="dxa" w:w="5102"/>
            <w:shd w:val="clear" w:color="auto" w:fill="F7F0FB"/>
          </w:tcPr>
          <w:p>
            <w:pPr>
              <w:spacing w:before="60" w:after="60"/>
            </w:pPr>
            <w:r>
              <w:t>Where is the line for you between a normal courtesy and something to declare? Let's check it against the policy.</w:t>
            </w:r>
          </w:p>
        </w:tc>
      </w:tr>
      <w:tr>
        <w:trPr>
          <w:cantSplit w:val="true"/>
        </w:trPr>
        <w:tc>
          <w:tcPr>
            <w:tcW w:type="dxa" w:w="4535"/>
          </w:tcPr>
          <w:p>
            <w:pPr>
              <w:spacing w:before="60" w:after="60"/>
            </w:pPr>
            <w:r>
              <w:rPr>
                <w:b/>
              </w:rPr>
              <w:t>This is mandatory, so let's get through it.</w:t>
            </w:r>
          </w:p>
        </w:tc>
        <w:tc>
          <w:tcPr>
            <w:tcW w:type="dxa" w:w="5102"/>
          </w:tcPr>
          <w:p>
            <w:pPr>
              <w:spacing w:before="60" w:after="60"/>
            </w:pPr>
            <w:r>
              <w:t>Which of these cases is closest to something you have actually seen?</w:t>
            </w:r>
          </w:p>
        </w:tc>
      </w:tr>
    </w:tbl>
    <w:p>
      <w:pPr>
        <w:spacing w:before="160"/>
      </w:pPr>
      <w:r>
        <w:rPr>
          <w:i/>
          <w:color w:val="5A5766"/>
        </w:rPr>
        <w:t>Autonomy support at work includes acknowledging people's perspectives, giving relevant information in a non-controlling way, offering choice and encouraging initiative (Gagné and Deci, 2005, p. 345). The questions are our wording.</w:t>
      </w:r>
    </w:p>
    <w:p>
      <w:pPr>
        <w:keepNext/>
        <w:spacing w:before="240" w:after="80"/>
      </w:pPr>
      <w:r>
        <w:rPr>
          <w:b/>
          <w:color w:val="5D008F"/>
          <w:sz w:val="28"/>
        </w:rPr>
        <w:t>Worked example: a depot and waste team</w:t>
      </w:r>
    </w:p>
    <w:p>
      <w:r>
        <w:t>Hypothetical example. A team leader at the council's works depot runs the discussion with eight crew members after the gifts, benefits and conflicts of interest refresher.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Part</w:t>
            </w:r>
          </w:p>
        </w:tc>
        <w:tc>
          <w:tcPr>
            <w:tcW w:type="dxa" w:w="7257"/>
            <w:shd w:val="clear" w:color="auto" w:fill="5D008F"/>
          </w:tcPr>
          <w:p>
            <w:pPr>
              <w:spacing w:before="60" w:after="60"/>
            </w:pPr>
            <w:r/>
            <w:r>
              <w:rPr>
                <w:b/>
                <w:color w:val="FFFFFF"/>
              </w:rPr>
              <w:t>Example</w:t>
            </w:r>
          </w:p>
        </w:tc>
      </w:tr>
      <w:tr>
        <w:trPr>
          <w:cantSplit w:val="true"/>
        </w:trPr>
        <w:tc>
          <w:tcPr>
            <w:tcW w:type="dxa" w:w="2381"/>
          </w:tcPr>
          <w:p>
            <w:pPr>
              <w:spacing w:before="60" w:after="60"/>
            </w:pPr>
            <w:r>
              <w:rPr>
                <w:b/>
              </w:rPr>
              <w:t>Opening line</w:t>
            </w:r>
          </w:p>
        </w:tc>
        <w:tc>
          <w:tcPr>
            <w:tcW w:type="dxa" w:w="7257"/>
          </w:tcPr>
          <w:p>
            <w:pPr>
              <w:spacing w:before="60" w:after="60"/>
            </w:pPr>
            <w:r>
              <w:t>I know some of you think this refresher is written for office staff. That's why I picked a case from the depot.</w:t>
            </w:r>
          </w:p>
        </w:tc>
      </w:tr>
      <w:tr>
        <w:trPr>
          <w:cantSplit w:val="true"/>
        </w:trPr>
        <w:tc>
          <w:tcPr>
            <w:tcW w:type="dxa" w:w="2381"/>
            <w:shd w:val="clear" w:color="auto" w:fill="F7F0FB"/>
          </w:tcPr>
          <w:p>
            <w:pPr>
              <w:spacing w:before="60" w:after="60"/>
            </w:pPr>
            <w:r>
              <w:rPr>
                <w:b/>
              </w:rPr>
              <w:t>Team leader's own declaration</w:t>
            </w:r>
          </w:p>
        </w:tc>
        <w:tc>
          <w:tcPr>
            <w:tcW w:type="dxa" w:w="7257"/>
            <w:shd w:val="clear" w:color="auto" w:fill="F7F0FB"/>
          </w:tcPr>
          <w:p>
            <w:pPr>
              <w:spacing w:before="60" w:after="60"/>
            </w:pPr>
            <w:r>
              <w:t>Last year a fencing supplier offered me two tickets to a football final while we were getting quotes. I said no and still declared the offer, because the quotes were open. Nothing happened, and now there's a record if anyone asks.</w:t>
            </w:r>
          </w:p>
        </w:tc>
      </w:tr>
      <w:tr>
        <w:trPr>
          <w:cantSplit w:val="true"/>
        </w:trPr>
        <w:tc>
          <w:tcPr>
            <w:tcW w:type="dxa" w:w="2381"/>
          </w:tcPr>
          <w:p>
            <w:pPr>
              <w:spacing w:before="60" w:after="60"/>
            </w:pPr>
            <w:r>
              <w:rPr>
                <w:b/>
              </w:rPr>
              <w:t>The case (anonymised)</w:t>
            </w:r>
          </w:p>
        </w:tc>
        <w:tc>
          <w:tcPr>
            <w:tcW w:type="dxa" w:w="7257"/>
          </w:tcPr>
          <w:p>
            <w:pPr>
              <w:spacing w:before="60" w:after="60"/>
            </w:pPr>
            <w:r>
              <w:t>A supplier's driver drops off materials at a job site and offers to buy the crew lunch. The supplier is one of three bidding for next year's materials contract. The crew supervisor sits on the panel that scores the bids.</w:t>
            </w:r>
          </w:p>
        </w:tc>
      </w:tr>
      <w:tr>
        <w:trPr>
          <w:cantSplit w:val="true"/>
        </w:trPr>
        <w:tc>
          <w:tcPr>
            <w:tcW w:type="dxa" w:w="2381"/>
            <w:shd w:val="clear" w:color="auto" w:fill="F7F0FB"/>
          </w:tcPr>
          <w:p>
            <w:pPr>
              <w:spacing w:before="60" w:after="60"/>
            </w:pPr>
            <w:r>
              <w:rPr>
                <w:b/>
              </w:rPr>
              <w:t>Questions asked</w:t>
            </w:r>
          </w:p>
        </w:tc>
        <w:tc>
          <w:tcPr>
            <w:tcW w:type="dxa" w:w="7257"/>
            <w:shd w:val="clear" w:color="auto" w:fill="F7F0FB"/>
          </w:tcPr>
          <w:p>
            <w:pPr>
              <w:spacing w:before="60" w:after="60"/>
            </w:pPr>
            <w:r>
              <w:t>How would you handle this? Does it change anything that the supervisor is on the panel? What would a resident think if they read about it?</w:t>
            </w:r>
          </w:p>
        </w:tc>
      </w:tr>
      <w:tr>
        <w:trPr>
          <w:cantSplit w:val="true"/>
        </w:trPr>
        <w:tc>
          <w:tcPr>
            <w:tcW w:type="dxa" w:w="2381"/>
          </w:tcPr>
          <w:p>
            <w:pPr>
              <w:spacing w:before="60" w:after="60"/>
            </w:pPr>
            <w:r>
              <w:rPr>
                <w:b/>
              </w:rPr>
              <w:t>What the team said</w:t>
            </w:r>
          </w:p>
        </w:tc>
        <w:tc>
          <w:tcPr>
            <w:tcW w:type="dxa" w:w="7257"/>
          </w:tcPr>
          <w:p>
            <w:pPr>
              <w:spacing w:before="60" w:after="60"/>
            </w:pPr>
            <w:r>
              <w:t>Most would accept a sandwich on a hot day. Two people pointed out the bid. The group agreed to decline, declare the offer and mention the panel.</w:t>
            </w:r>
          </w:p>
        </w:tc>
      </w:tr>
      <w:tr>
        <w:trPr>
          <w:cantSplit w:val="true"/>
        </w:trPr>
        <w:tc>
          <w:tcPr>
            <w:tcW w:type="dxa" w:w="2381"/>
            <w:shd w:val="clear" w:color="auto" w:fill="F7F0FB"/>
          </w:tcPr>
          <w:p>
            <w:pPr>
              <w:spacing w:before="60" w:after="60"/>
            </w:pPr>
            <w:r>
              <w:rPr>
                <w:b/>
              </w:rPr>
              <w:t>Facts checked</w:t>
            </w:r>
          </w:p>
        </w:tc>
        <w:tc>
          <w:tcPr>
            <w:tcW w:type="dxa" w:w="7257"/>
            <w:shd w:val="clear" w:color="auto" w:fill="F7F0FB"/>
          </w:tcPr>
          <w:p>
            <w:pPr>
              <w:spacing w:before="60" w:after="60"/>
            </w:pPr>
            <w:r>
              <w:t>Declare offers even if declined; declare any private interest that could look as if it affects your work; form to the team leader within 5 working days.</w:t>
            </w:r>
          </w:p>
        </w:tc>
      </w:tr>
      <w:tr>
        <w:trPr>
          <w:cantSplit w:val="true"/>
        </w:trPr>
        <w:tc>
          <w:tcPr>
            <w:tcW w:type="dxa" w:w="2381"/>
          </w:tcPr>
          <w:p>
            <w:pPr>
              <w:spacing w:before="60" w:after="60"/>
            </w:pPr>
            <w:r>
              <w:rPr>
                <w:b/>
              </w:rPr>
              <w:t>Commitments</w:t>
            </w:r>
          </w:p>
        </w:tc>
        <w:tc>
          <w:tcPr>
            <w:tcW w:type="dxa" w:w="7257"/>
          </w:tcPr>
          <w:p>
            <w:pPr>
              <w:spacing w:before="60" w:after="60"/>
            </w:pPr>
            <w:r>
              <w:t>Two crew members asked to check past offers with the team leader this week.</w:t>
            </w:r>
          </w:p>
        </w:tc>
      </w:tr>
      <w:tr>
        <w:trPr>
          <w:cantSplit w:val="true"/>
        </w:trPr>
        <w:tc>
          <w:tcPr>
            <w:tcW w:type="dxa" w:w="2381"/>
            <w:shd w:val="clear" w:color="auto" w:fill="F7F0FB"/>
          </w:tcPr>
          <w:p>
            <w:pPr>
              <w:spacing w:before="60" w:after="60"/>
            </w:pPr>
            <w:r>
              <w:rPr>
                <w:b/>
              </w:rPr>
              <w:t>Question for the integrity team</w:t>
            </w:r>
          </w:p>
        </w:tc>
        <w:tc>
          <w:tcPr>
            <w:tcW w:type="dxa" w:w="7257"/>
            <w:shd w:val="clear" w:color="auto" w:fill="F7F0FB"/>
          </w:tcPr>
          <w:p>
            <w:pPr>
              <w:spacing w:before="60" w:after="60"/>
            </w:pPr>
            <w:r>
              <w:t>Should panel members declare offers from all bidders, or only from the bidder who made the offer?</w:t>
            </w:r>
          </w:p>
        </w:tc>
      </w:tr>
    </w:tbl>
    <w:p>
      <w:pPr>
        <w:keepNext/>
        <w:pageBreakBefore/>
        <w:spacing w:before="240" w:after="80"/>
      </w:pPr>
      <w:r>
        <w:rPr>
          <w:b/>
          <w:color w:val="5D008F"/>
          <w:sz w:val="28"/>
        </w:rPr>
        <w:t>Your discussion plan (blank)</w:t>
      </w:r>
    </w:p>
    <w:p>
      <w:r>
        <w:t>Team: ______________________________   Date: ______________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Part</w:t>
            </w:r>
          </w:p>
        </w:tc>
        <w:tc>
          <w:tcPr>
            <w:tcW w:type="dxa" w:w="7257"/>
            <w:shd w:val="clear" w:color="auto" w:fill="5D008F"/>
          </w:tcPr>
          <w:p>
            <w:pPr>
              <w:spacing w:before="60" w:after="60"/>
            </w:pPr>
            <w:r/>
            <w:r>
              <w:rPr>
                <w:b/>
                <w:color w:val="FFFFFF"/>
              </w:rPr>
              <w:t>Your notes</w:t>
            </w:r>
          </w:p>
        </w:tc>
      </w:tr>
      <w:tr>
        <w:trPr>
          <w:cantSplit w:val="true"/>
          <w:trHeight w:val="907"/>
        </w:trPr>
        <w:tc>
          <w:tcPr>
            <w:tcW w:type="dxa" w:w="2381"/>
          </w:tcPr>
          <w:p>
            <w:pPr>
              <w:spacing w:before="60" w:after="60"/>
            </w:pPr>
            <w:r>
              <w:rPr>
                <w:b/>
              </w:rPr>
              <w:t>Opening line</w:t>
            </w:r>
          </w:p>
        </w:tc>
        <w:tc>
          <w:tcPr>
            <w:tcW w:type="dxa" w:w="7257"/>
          </w:tcPr>
          <w:p>
            <w:pPr>
              <w:spacing w:before="60" w:after="60"/>
            </w:pPr>
            <w:r/>
          </w:p>
        </w:tc>
      </w:tr>
      <w:tr>
        <w:trPr>
          <w:cantSplit w:val="true"/>
          <w:trHeight w:val="907"/>
        </w:trPr>
        <w:tc>
          <w:tcPr>
            <w:tcW w:type="dxa" w:w="2381"/>
            <w:shd w:val="clear" w:color="auto" w:fill="F7F0FB"/>
          </w:tcPr>
          <w:p>
            <w:pPr>
              <w:spacing w:before="60" w:after="60"/>
            </w:pPr>
            <w:r>
              <w:rPr>
                <w:b/>
              </w:rPr>
              <w:t>Your own declaration</w:t>
            </w:r>
          </w:p>
        </w:tc>
        <w:tc>
          <w:tcPr>
            <w:tcW w:type="dxa" w:w="7257"/>
            <w:shd w:val="clear" w:color="auto" w:fill="F7F0FB"/>
          </w:tcPr>
          <w:p>
            <w:pPr>
              <w:spacing w:before="60" w:after="60"/>
            </w:pPr>
            <w:r/>
          </w:p>
        </w:tc>
      </w:tr>
      <w:tr>
        <w:trPr>
          <w:cantSplit w:val="true"/>
          <w:trHeight w:val="907"/>
        </w:trPr>
        <w:tc>
          <w:tcPr>
            <w:tcW w:type="dxa" w:w="2381"/>
          </w:tcPr>
          <w:p>
            <w:pPr>
              <w:spacing w:before="60" w:after="60"/>
            </w:pPr>
            <w:r>
              <w:rPr>
                <w:b/>
              </w:rPr>
              <w:t>The case (anonymised)</w:t>
            </w:r>
          </w:p>
        </w:tc>
        <w:tc>
          <w:tcPr>
            <w:tcW w:type="dxa" w:w="7257"/>
          </w:tcPr>
          <w:p>
            <w:pPr>
              <w:spacing w:before="60" w:after="60"/>
            </w:pPr>
            <w:r/>
          </w:p>
        </w:tc>
      </w:tr>
      <w:tr>
        <w:trPr>
          <w:cantSplit w:val="true"/>
          <w:trHeight w:val="907"/>
        </w:trPr>
        <w:tc>
          <w:tcPr>
            <w:tcW w:type="dxa" w:w="2381"/>
            <w:shd w:val="clear" w:color="auto" w:fill="F7F0FB"/>
          </w:tcPr>
          <w:p>
            <w:pPr>
              <w:spacing w:before="60" w:after="60"/>
            </w:pPr>
            <w:r>
              <w:rPr>
                <w:b/>
              </w:rPr>
              <w:t>Questions to ask</w:t>
            </w:r>
          </w:p>
        </w:tc>
        <w:tc>
          <w:tcPr>
            <w:tcW w:type="dxa" w:w="7257"/>
            <w:shd w:val="clear" w:color="auto" w:fill="F7F0FB"/>
          </w:tcPr>
          <w:p>
            <w:pPr>
              <w:spacing w:before="60" w:after="60"/>
            </w:pPr>
            <w:r/>
          </w:p>
        </w:tc>
      </w:tr>
      <w:tr>
        <w:trPr>
          <w:cantSplit w:val="true"/>
          <w:trHeight w:val="907"/>
        </w:trPr>
        <w:tc>
          <w:tcPr>
            <w:tcW w:type="dxa" w:w="2381"/>
          </w:tcPr>
          <w:p>
            <w:pPr>
              <w:spacing w:before="60" w:after="60"/>
            </w:pPr>
            <w:r>
              <w:rPr>
                <w:b/>
              </w:rPr>
              <w:t>What the team said</w:t>
            </w:r>
          </w:p>
        </w:tc>
        <w:tc>
          <w:tcPr>
            <w:tcW w:type="dxa" w:w="7257"/>
          </w:tcPr>
          <w:p>
            <w:pPr>
              <w:spacing w:before="60" w:after="60"/>
            </w:pPr>
            <w:r/>
          </w:p>
        </w:tc>
      </w:tr>
      <w:tr>
        <w:trPr>
          <w:cantSplit w:val="true"/>
          <w:trHeight w:val="907"/>
        </w:trPr>
        <w:tc>
          <w:tcPr>
            <w:tcW w:type="dxa" w:w="2381"/>
            <w:shd w:val="clear" w:color="auto" w:fill="F7F0FB"/>
          </w:tcPr>
          <w:p>
            <w:pPr>
              <w:spacing w:before="60" w:after="60"/>
            </w:pPr>
            <w:r>
              <w:rPr>
                <w:b/>
              </w:rPr>
              <w:t>Facts checked</w:t>
            </w:r>
          </w:p>
        </w:tc>
        <w:tc>
          <w:tcPr>
            <w:tcW w:type="dxa" w:w="7257"/>
            <w:shd w:val="clear" w:color="auto" w:fill="F7F0FB"/>
          </w:tcPr>
          <w:p>
            <w:pPr>
              <w:spacing w:before="60" w:after="60"/>
            </w:pPr>
            <w:r/>
          </w:p>
        </w:tc>
      </w:tr>
      <w:tr>
        <w:trPr>
          <w:cantSplit w:val="true"/>
          <w:trHeight w:val="907"/>
        </w:trPr>
        <w:tc>
          <w:tcPr>
            <w:tcW w:type="dxa" w:w="2381"/>
          </w:tcPr>
          <w:p>
            <w:pPr>
              <w:spacing w:before="60" w:after="60"/>
            </w:pPr>
            <w:r>
              <w:rPr>
                <w:b/>
              </w:rPr>
              <w:t>Commitments</w:t>
            </w:r>
          </w:p>
        </w:tc>
        <w:tc>
          <w:tcPr>
            <w:tcW w:type="dxa" w:w="7257"/>
          </w:tcPr>
          <w:p>
            <w:pPr>
              <w:spacing w:before="60" w:after="60"/>
            </w:pPr>
            <w:r/>
          </w:p>
        </w:tc>
      </w:tr>
      <w:tr>
        <w:trPr>
          <w:cantSplit w:val="true"/>
          <w:trHeight w:val="907"/>
        </w:trPr>
        <w:tc>
          <w:tcPr>
            <w:tcW w:type="dxa" w:w="2381"/>
            <w:shd w:val="clear" w:color="auto" w:fill="F7F0FB"/>
          </w:tcPr>
          <w:p>
            <w:pPr>
              <w:spacing w:before="60" w:after="60"/>
            </w:pPr>
            <w:r>
              <w:rPr>
                <w:b/>
              </w:rPr>
              <w:t>Question for the integrity team</w:t>
            </w:r>
          </w:p>
        </w:tc>
        <w:tc>
          <w:tcPr>
            <w:tcW w:type="dxa" w:w="7257"/>
            <w:shd w:val="clear" w:color="auto" w:fill="F7F0FB"/>
          </w:tcPr>
          <w:p>
            <w:pPr>
              <w:spacing w:before="60" w:after="60"/>
            </w:pPr>
            <w:r/>
          </w:p>
        </w:tc>
      </w:tr>
    </w:tbl>
    <w:p>
      <w:pPr>
        <w:keepNext/>
        <w:spacing w:before="240" w:after="80"/>
      </w:pPr>
      <w:r>
        <w:rPr>
          <w:b/>
          <w:color w:val="5D008F"/>
          <w:sz w:val="28"/>
        </w:rPr>
        <w:t>After the discussion</w:t>
      </w:r>
    </w:p>
    <w:p>
      <w:pPr>
        <w:pStyle w:val="ListBullet"/>
      </w:pPr>
      <w:r>
        <w:t>Send any open question to the integrity team, and tell the team the answer at the next meeting.</w:t>
      </w:r>
    </w:p>
    <w:p>
      <w:pPr>
        <w:pStyle w:val="ListBullet"/>
      </w:pPr>
      <w:r>
        <w:t>Tell your manager in a sentence how the discussion went. In one municipal trial of need-supportive leadership training, managers said senior management did not prioritise or follow it up, and the training produced no measurable change.</w:t>
      </w:r>
    </w:p>
    <w:p>
      <w:pPr>
        <w:pStyle w:val="ListBullet"/>
      </w:pPr>
      <w:r>
        <w:t>Track declaration timeliness alongside situations requiring declarations. This shows behaviour; it does not establish motivation or the course's effect.</w:t>
      </w:r>
    </w:p>
    <w:p>
      <w:pPr>
        <w:pStyle w:val="ListBullet"/>
      </w:pPr>
      <w:r>
        <w:t>Run a second short discussion later in the year with a different case. One discussion is a start, not a habit.</w:t>
      </w:r>
    </w:p>
    <w:p>
      <w:pPr>
        <w:spacing w:before="160"/>
      </w:pPr>
      <w:r>
        <w:rPr>
          <w:i/>
          <w:color w:val="5A5766"/>
        </w:rPr>
        <w:t>This guide does not certify a team or a team leader. It gives no score, and a good discussion is not proof that behaviour has changed.</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