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80"/>
      </w:pPr>
      <w:r>
        <w:rPr>
          <w:b/>
          <w:bCs/>
          <w:color w:val="5D008F"/>
          <w:sz w:val="40"/>
          <w:szCs w:val="40"/>
          <w:rtl/>
        </w:rPr>
        <w:t xml:space="preserve">ورقة استدلال الحالة وقائمة التحقق الشخصية</w:t>
      </w:r>
    </w:p>
    <w:p>
      <w:pPr>
        <w:bidi/>
      </w:pPr>
      <w:r>
        <w:rPr>
          <w:color w:val="5A5766"/>
          <w:sz w:val="22"/>
          <w:szCs w:val="22"/>
          <w:rtl/>
        </w:rPr>
        <w:t xml:space="preserve">لمتعلم واحد يعمل على حالة واحدة: سجّل الإجابة الأولى والإجابة النهائية، وقارن استدلال زميلَين، وتحقق من القرار وفق معايير مكتوبة، وابنِ قائمة تحقق شخصية للحالة التالية. هذا تكييف خاص من Coursebox لأساليب التأمل والتعبير في التلمذة المعرفية (Collins, Brown and Holum, 1991). هي أداة تعلم وليست أداة مُحقَّقة علمياً: لا تعطي درجة ولا تثبت الكفاءة. وقد مُلئت بورقة افتراضية لموظف ذمم دائنة.</w:t>
      </w:r>
    </w:p>
    <w:p>
      <w:pPr>
        <w:bidi/>
      </w:pPr>
      <w:r>
        <w:rPr>
          <w:i/>
          <w:iCs/>
          <w:color w:val="5A5766"/>
          <w:sz w:val="18"/>
          <w:szCs w:val="18"/>
          <w:rtl/>
        </w:rPr>
        <w:t xml:space="preserve">من مدونة Coursebox: coursebox.ai/blog/constructivism-learning-theory-and-its-elearning-application</w:t>
      </w:r>
    </w:p>
    <w:p>
      <w:pPr>
        <w:keepNext/>
        <w:bidi/>
        <w:spacing w:before="240" w:after="80"/>
      </w:pPr>
      <w:r>
        <w:rPr>
          <w:b/>
          <w:bCs/>
          <w:color w:val="5D008F"/>
          <w:sz w:val="28"/>
          <w:szCs w:val="28"/>
          <w:rtl/>
        </w:rPr>
        <w:t xml:space="preserve">كيفية استخدام هذه الورقة</w:t>
      </w:r>
    </w:p>
    <w:p>
      <w:pPr>
        <w:pStyle w:val="ListBullet"/>
        <w:bidi/>
      </w:pPr>
      <w:r>
        <w:rPr>
          <w:rtl/>
        </w:rPr>
        <w:t xml:space="preserve">في النسخة القائمة على المشكلة أولاً، سجّل الإجابة الأولى قبل الشرح. وإذا تعذّر على المتعلمين البدء، فابدأ بمثال محلول.</w:t>
      </w:r>
    </w:p>
    <w:p>
      <w:pPr>
        <w:pStyle w:val="ListBullet"/>
        <w:bidi/>
      </w:pPr>
      <w:r>
        <w:rPr>
          <w:rtl/>
        </w:rPr>
        <w:t xml:space="preserve">اكتب الإجابة النهائية بعد المثال المحلول والتدريب الموجَّه. الفرق بين الإجابتين هو دليل تغيّر الاستدلال.</w:t>
      </w:r>
    </w:p>
    <w:p>
      <w:pPr>
        <w:pStyle w:val="ListBullet"/>
        <w:bidi/>
      </w:pPr>
      <w:r>
        <w:rPr>
          <w:rtl/>
        </w:rPr>
        <w:t xml:space="preserve">قارن قرارَي زميلَين في الحالة نفسها. بيّن أي استدلال توافق عليه ولماذا، لا أي إجابة صحيحة فحسب.</w:t>
      </w:r>
    </w:p>
    <w:p>
      <w:pPr>
        <w:pStyle w:val="ListBullet"/>
        <w:bidi/>
      </w:pPr>
      <w:r>
        <w:rPr>
          <w:rtl/>
        </w:rPr>
        <w:t xml:space="preserve">تحقق من القرار النهائي وفق كل معيار بملاحظة مكتوبة قصيرة. الملاحظات محفزات للتغذية الراجعة وليست درجات.</w:t>
      </w:r>
    </w:p>
    <w:p>
      <w:pPr>
        <w:pStyle w:val="ListBullet"/>
        <w:bidi/>
      </w:pPr>
      <w:r>
        <w:rPr>
          <w:rtl/>
        </w:rPr>
        <w:t xml:space="preserve">اختم بكتابة قائمة التحقق الخاصة بك للحالة التالية، بكلماتك أنت.</w:t>
      </w:r>
    </w:p>
    <w:p>
      <w:pPr>
        <w:keepNext/>
        <w:pageBreakBefore/>
        <w:bidi/>
        <w:spacing w:before="240" w:after="80"/>
      </w:pPr>
      <w:r>
        <w:rPr>
          <w:b/>
          <w:bCs/>
          <w:color w:val="5D008F"/>
          <w:sz w:val="28"/>
          <w:szCs w:val="28"/>
          <w:rtl/>
        </w:rPr>
        <w:t xml:space="preserve">مثال محلول: الإجابة الأولى والإجابة النهائية</w:t>
      </w:r>
    </w:p>
    <w:p>
      <w:pPr>
        <w:bidi/>
      </w:pPr>
      <w:r>
        <w:rPr>
          <w:rtl/>
        </w:rPr>
        <w:t xml:space="preserve">مثال افتراضي. يعالج موظف ذمم دائنة جديد حالة الثلاثاء: بريد إلكتروني من جهة الاتصال المعتادة لدى مورّد تغليف قديم يطلب تغيير الحساب البنكي «لجميع الدفعات ابتداءً من هذا الأسبوع». هناك فاتورة بقيمة 48,600 دولار مستحقة في دفعة الخميس، ويختلف نطاق بريد المرسل عن المعتاد بحرف واحد.</w:t>
      </w:r>
    </w:p>
    <w:tbl>
      <w:tblPr>
        <w:bidiVisual/>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1984"/>
            <w:shd w:val="clear" w:color="auto" w:fill="5D008F"/>
          </w:tcPr>
          <w:p>
            <w:pPr>
              <w:bidi/>
              <w:spacing w:before="60" w:after="60"/>
            </w:pPr>
            <w:r/>
            <w:r>
              <w:rPr>
                <w:b/>
                <w:bCs/>
                <w:color w:val="FFFFFF"/>
                <w:rtl/>
              </w:rPr>
            </w:r>
          </w:p>
        </w:tc>
        <w:tc>
          <w:tcPr>
            <w:tcW w:type="dxa" w:w="7654"/>
            <w:shd w:val="clear" w:color="auto" w:fill="5D008F"/>
          </w:tcPr>
          <w:p>
            <w:pPr>
              <w:bidi/>
              <w:spacing w:before="60" w:after="60"/>
            </w:pPr>
            <w:r/>
            <w:r>
              <w:rPr>
                <w:b/>
                <w:bCs/>
                <w:color w:val="FFFFFF"/>
                <w:rtl/>
              </w:rPr>
              <w:t xml:space="preserve">إجابة الموظف</w:t>
            </w:r>
          </w:p>
        </w:tc>
      </w:tr>
      <w:tr>
        <w:trPr>
          <w:cantSplit w:val="true"/>
        </w:trPr>
        <w:tc>
          <w:tcPr>
            <w:tcW w:type="dxa" w:w="1984"/>
          </w:tcPr>
          <w:p>
            <w:pPr>
              <w:bidi/>
              <w:spacing w:before="60" w:after="60"/>
            </w:pPr>
            <w:r>
              <w:rPr>
                <w:b/>
                <w:bCs/>
                <w:rtl/>
              </w:rPr>
              <w:t xml:space="preserve">الإجابة الأولى</w:t>
            </w:r>
          </w:p>
        </w:tc>
        <w:tc>
          <w:tcPr>
            <w:tcW w:type="dxa" w:w="7654"/>
          </w:tcPr>
          <w:p>
            <w:pPr>
              <w:bidi/>
              <w:spacing w:before="60" w:after="60"/>
            </w:pPr>
            <w:r>
              <w:rPr>
                <w:rtl/>
              </w:rPr>
              <w:t xml:space="preserve">أحدّث البيانات البنكية، لأن الطلب جاء من جهة الاتصال التي نتعامل معها دائماً والخطاب على ورقها الرسمي. وأسدد الدفعة يوم الخميس كالمعتاد.</w:t>
            </w:r>
          </w:p>
        </w:tc>
      </w:tr>
      <w:tr>
        <w:trPr>
          <w:cantSplit w:val="true"/>
        </w:trPr>
        <w:tc>
          <w:tcPr>
            <w:tcW w:type="dxa" w:w="1984"/>
            <w:shd w:val="clear" w:color="auto" w:fill="F7F0FB"/>
          </w:tcPr>
          <w:p>
            <w:pPr>
              <w:bidi/>
              <w:spacing w:before="60" w:after="60"/>
            </w:pPr>
            <w:r>
              <w:rPr>
                <w:b/>
                <w:bCs/>
                <w:rtl/>
              </w:rPr>
              <w:t xml:space="preserve">الإجابة النهائية</w:t>
            </w:r>
          </w:p>
        </w:tc>
        <w:tc>
          <w:tcPr>
            <w:tcW w:type="dxa" w:w="7654"/>
            <w:shd w:val="clear" w:color="auto" w:fill="F7F0FB"/>
          </w:tcPr>
          <w:p>
            <w:pPr>
              <w:bidi/>
              <w:spacing w:before="60" w:after="60"/>
            </w:pPr>
            <w:r>
              <w:rPr>
                <w:rtl/>
              </w:rPr>
              <w:t xml:space="preserve">أوقف التغيير ودفعة 48,600 دولار. نطاق بريد المرسل يختلف بحرف واحد عن النطاق المسجل في سجل المورّد الرئيسي، ولا يُظهر السجل أي تغيير منذ أربع سنوات. أتصل بالمورّد على الرقم المسجل لدينا، لا على أي رقم في البريد أو الخطاب، وأحصل على موافقة موظف ثانٍ قبل أي تغيير. وأبلغ المعتمِد بأن دفعة الخميس موقوفة.</w:t>
            </w:r>
          </w:p>
        </w:tc>
      </w:tr>
      <w:tr>
        <w:trPr>
          <w:cantSplit w:val="true"/>
        </w:trPr>
        <w:tc>
          <w:tcPr>
            <w:tcW w:type="dxa" w:w="1984"/>
          </w:tcPr>
          <w:p>
            <w:pPr>
              <w:bidi/>
              <w:spacing w:before="60" w:after="60"/>
            </w:pPr>
            <w:r>
              <w:rPr>
                <w:b/>
                <w:bCs/>
                <w:rtl/>
              </w:rPr>
              <w:t xml:space="preserve">ما الذي تغيّر في استدلالي</w:t>
            </w:r>
          </w:p>
        </w:tc>
        <w:tc>
          <w:tcPr>
            <w:tcW w:type="dxa" w:w="7654"/>
          </w:tcPr>
          <w:p>
            <w:pPr>
              <w:bidi/>
              <w:spacing w:before="60" w:after="60"/>
            </w:pPr>
            <w:r>
              <w:rPr>
                <w:rtl/>
              </w:rPr>
              <w:t xml:space="preserve">كنت أثق باسم المرسل. أما الآن فأقارن الطلب بسجل المورّد والإجراء المعتمد، أياً كانت الجهة التي يبدو أنه صادر عنها.</w:t>
            </w:r>
          </w:p>
        </w:tc>
      </w:tr>
    </w:tbl>
    <w:p>
      <w:pPr>
        <w:keepNext/>
        <w:bidi/>
        <w:spacing w:before="240" w:after="80"/>
      </w:pPr>
      <w:r>
        <w:rPr>
          <w:b/>
          <w:bCs/>
          <w:color w:val="5D008F"/>
          <w:sz w:val="28"/>
          <w:szCs w:val="28"/>
          <w:rtl/>
        </w:rPr>
        <w:t xml:space="preserve">مثال محلول: مقارنة استدلال الزملاء</w:t>
      </w:r>
    </w:p>
    <w:tbl>
      <w:tblPr>
        <w:bidiVisual/>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268"/>
            <w:shd w:val="clear" w:color="auto" w:fill="5D008F"/>
          </w:tcPr>
          <w:p>
            <w:pPr>
              <w:bidi/>
              <w:spacing w:before="60" w:after="60"/>
            </w:pPr>
            <w:r/>
            <w:r>
              <w:rPr>
                <w:b/>
                <w:bCs/>
                <w:color w:val="FFFFFF"/>
                <w:rtl/>
              </w:rPr>
              <w:t xml:space="preserve">قرار الزميل</w:t>
            </w:r>
          </w:p>
        </w:tc>
        <w:tc>
          <w:tcPr>
            <w:tcW w:type="dxa" w:w="3685"/>
            <w:shd w:val="clear" w:color="auto" w:fill="5D008F"/>
          </w:tcPr>
          <w:p>
            <w:pPr>
              <w:bidi/>
              <w:spacing w:before="60" w:after="60"/>
            </w:pPr>
            <w:r/>
            <w:r>
              <w:rPr>
                <w:b/>
                <w:bCs/>
                <w:color w:val="FFFFFF"/>
                <w:rtl/>
              </w:rPr>
              <w:t xml:space="preserve">استدلاله</w:t>
            </w:r>
          </w:p>
        </w:tc>
        <w:tc>
          <w:tcPr>
            <w:tcW w:type="dxa" w:w="3685"/>
            <w:shd w:val="clear" w:color="auto" w:fill="5D008F"/>
          </w:tcPr>
          <w:p>
            <w:pPr>
              <w:bidi/>
              <w:spacing w:before="60" w:after="60"/>
            </w:pPr>
            <w:r/>
            <w:r>
              <w:rPr>
                <w:b/>
                <w:bCs/>
                <w:color w:val="FFFFFF"/>
                <w:rtl/>
              </w:rPr>
              <w:t xml:space="preserve">هل أوافق، ولماذا؟</w:t>
            </w:r>
          </w:p>
        </w:tc>
      </w:tr>
      <w:tr>
        <w:trPr>
          <w:cantSplit w:val="true"/>
        </w:trPr>
        <w:tc>
          <w:tcPr>
            <w:tcW w:type="dxa" w:w="2268"/>
          </w:tcPr>
          <w:p>
            <w:pPr>
              <w:bidi/>
              <w:spacing w:before="60" w:after="60"/>
            </w:pPr>
            <w:r>
              <w:rPr>
                <w:b/>
                <w:bCs/>
                <w:rtl/>
              </w:rPr>
              <w:t xml:space="preserve">يسدد يوم الخميس ويحدّث البيانات</w:t>
            </w:r>
          </w:p>
        </w:tc>
        <w:tc>
          <w:tcPr>
            <w:tcW w:type="dxa" w:w="3685"/>
          </w:tcPr>
          <w:p>
            <w:pPr>
              <w:bidi/>
              <w:spacing w:before="60" w:after="60"/>
            </w:pPr>
            <w:r>
              <w:rPr>
                <w:rtl/>
              </w:rPr>
              <w:t xml:space="preserve">جهة اتصال معروفة، وورق رسمي، والمورّد قال إنه انتقل إلى بنك آخر</w:t>
            </w:r>
          </w:p>
        </w:tc>
        <w:tc>
          <w:tcPr>
            <w:tcW w:type="dxa" w:w="3685"/>
          </w:tcPr>
          <w:p>
            <w:pPr>
              <w:bidi/>
              <w:spacing w:before="60" w:after="60"/>
            </w:pPr>
            <w:r>
              <w:rPr>
                <w:rtl/>
              </w:rPr>
              <w:t xml:space="preserve">لا. لم يُقارَن شيء في الطلب بسجل المورّد، ويشترط الإجراء الاتصال بالرقم المسجل.</w:t>
            </w:r>
          </w:p>
        </w:tc>
      </w:tr>
      <w:tr>
        <w:trPr>
          <w:cantSplit w:val="true"/>
        </w:trPr>
        <w:tc>
          <w:tcPr>
            <w:tcW w:type="dxa" w:w="2268"/>
            <w:shd w:val="clear" w:color="auto" w:fill="F7F0FB"/>
          </w:tcPr>
          <w:p>
            <w:pPr>
              <w:bidi/>
              <w:spacing w:before="60" w:after="60"/>
            </w:pPr>
            <w:r>
              <w:rPr>
                <w:b/>
                <w:bCs/>
                <w:rtl/>
              </w:rPr>
              <w:t xml:space="preserve">يوقف الدفعة ويتصل بالرقم المسجل</w:t>
            </w:r>
          </w:p>
        </w:tc>
        <w:tc>
          <w:tcPr>
            <w:tcW w:type="dxa" w:w="3685"/>
            <w:shd w:val="clear" w:color="auto" w:fill="F7F0FB"/>
          </w:tcPr>
          <w:p>
            <w:pPr>
              <w:bidi/>
              <w:spacing w:before="60" w:after="60"/>
            </w:pPr>
            <w:r>
              <w:rPr>
                <w:rtl/>
              </w:rPr>
              <w:t xml:space="preserve">النطاق لا يطابق، وأول تغيير منذ أربع سنوات، وضغط الموعد النهائي في البريد</w:t>
            </w:r>
          </w:p>
        </w:tc>
        <w:tc>
          <w:tcPr>
            <w:tcW w:type="dxa" w:w="3685"/>
            <w:shd w:val="clear" w:color="auto" w:fill="F7F0FB"/>
          </w:tcPr>
          <w:p>
            <w:pPr>
              <w:bidi/>
              <w:spacing w:before="60" w:after="60"/>
            </w:pPr>
            <w:r>
              <w:rPr>
                <w:rtl/>
              </w:rPr>
              <w:t xml:space="preserve">نعم. هذا يتبع الإجراء ويوضح أي البيانات لم تكن متسقة.</w:t>
            </w:r>
          </w:p>
        </w:tc>
      </w:tr>
    </w:tbl>
    <w:p>
      <w:pPr>
        <w:keepNext/>
        <w:pageBreakBefore/>
        <w:bidi/>
        <w:spacing w:before="240" w:after="80"/>
      </w:pPr>
      <w:r>
        <w:rPr>
          <w:b/>
          <w:bCs/>
          <w:color w:val="5D008F"/>
          <w:sz w:val="28"/>
          <w:szCs w:val="28"/>
          <w:rtl/>
        </w:rPr>
        <w:t xml:space="preserve">مثال محلول: التحقق من القرار النهائي</w:t>
      </w:r>
    </w:p>
    <w:tbl>
      <w:tblPr>
        <w:bidiVisual/>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2041"/>
            <w:shd w:val="clear" w:color="auto" w:fill="5D008F"/>
          </w:tcPr>
          <w:p>
            <w:pPr>
              <w:bidi/>
              <w:spacing w:before="60" w:after="60"/>
            </w:pPr>
            <w:r/>
            <w:r>
              <w:rPr>
                <w:b/>
                <w:bCs/>
                <w:color w:val="FFFFFF"/>
                <w:rtl/>
              </w:rPr>
              <w:t xml:space="preserve">المعيار</w:t>
            </w:r>
          </w:p>
        </w:tc>
        <w:tc>
          <w:tcPr>
            <w:tcW w:type="dxa" w:w="1814"/>
            <w:shd w:val="clear" w:color="auto" w:fill="5D008F"/>
          </w:tcPr>
          <w:p>
            <w:pPr>
              <w:bidi/>
              <w:spacing w:before="60" w:after="60"/>
            </w:pPr>
            <w:r/>
            <w:r>
              <w:rPr>
                <w:b/>
                <w:bCs/>
                <w:color w:val="FFFFFF"/>
                <w:rtl/>
              </w:rPr>
              <w:t xml:space="preserve">لم يتحقق بعد</w:t>
            </w:r>
          </w:p>
        </w:tc>
        <w:tc>
          <w:tcPr>
            <w:tcW w:type="dxa" w:w="1814"/>
            <w:shd w:val="clear" w:color="auto" w:fill="5D008F"/>
          </w:tcPr>
          <w:p>
            <w:pPr>
              <w:bidi/>
              <w:spacing w:before="60" w:after="60"/>
            </w:pPr>
            <w:r/>
            <w:r>
              <w:rPr>
                <w:b/>
                <w:bCs/>
                <w:color w:val="FFFFFF"/>
                <w:rtl/>
              </w:rPr>
              <w:t xml:space="preserve">يستوفي</w:t>
            </w:r>
          </w:p>
        </w:tc>
        <w:tc>
          <w:tcPr>
            <w:tcW w:type="dxa" w:w="1814"/>
            <w:shd w:val="clear" w:color="auto" w:fill="5D008F"/>
          </w:tcPr>
          <w:p>
            <w:pPr>
              <w:bidi/>
              <w:spacing w:before="60" w:after="60"/>
            </w:pPr>
            <w:r/>
            <w:r>
              <w:rPr>
                <w:b/>
                <w:bCs/>
                <w:color w:val="FFFFFF"/>
                <w:rtl/>
              </w:rPr>
              <w:t xml:space="preserve">يتجاوز</w:t>
            </w:r>
          </w:p>
        </w:tc>
        <w:tc>
          <w:tcPr>
            <w:tcW w:type="dxa" w:w="2154"/>
            <w:shd w:val="clear" w:color="auto" w:fill="5D008F"/>
          </w:tcPr>
          <w:p>
            <w:pPr>
              <w:bidi/>
              <w:spacing w:before="60" w:after="60"/>
            </w:pPr>
            <w:r/>
            <w:r>
              <w:rPr>
                <w:b/>
                <w:bCs/>
                <w:color w:val="FFFFFF"/>
                <w:rtl/>
              </w:rPr>
              <w:t xml:space="preserve">ملاحظة التغذية الراجعة</w:t>
            </w:r>
          </w:p>
        </w:tc>
      </w:tr>
      <w:tr>
        <w:trPr>
          <w:cantSplit w:val="true"/>
        </w:trPr>
        <w:tc>
          <w:tcPr>
            <w:tcW w:type="dxa" w:w="2041"/>
          </w:tcPr>
          <w:p>
            <w:pPr>
              <w:bidi/>
              <w:spacing w:before="60" w:after="60"/>
            </w:pPr>
            <w:r>
              <w:rPr>
                <w:b/>
                <w:bCs/>
                <w:rtl/>
              </w:rPr>
              <w:t xml:space="preserve">قارن الطلب بسجل المورّد الرئيسي</w:t>
            </w:r>
          </w:p>
        </w:tc>
        <w:tc>
          <w:tcPr>
            <w:tcW w:type="dxa" w:w="1814"/>
          </w:tcPr>
          <w:p>
            <w:pPr>
              <w:bidi/>
              <w:spacing w:before="60" w:after="60"/>
            </w:pPr>
            <w:r>
              <w:rPr>
                <w:rtl/>
              </w:rPr>
              <w:t xml:space="preserve">يعتمد على اسم المرسل أو الورق الرسمي</w:t>
            </w:r>
          </w:p>
        </w:tc>
        <w:tc>
          <w:tcPr>
            <w:tcW w:type="dxa" w:w="1814"/>
          </w:tcPr>
          <w:p>
            <w:pPr>
              <w:bidi/>
              <w:spacing w:before="60" w:after="60"/>
            </w:pPr>
            <w:r>
              <w:rPr>
                <w:rtl/>
              </w:rPr>
              <w:t xml:space="preserve">يقارن النطاق والبيانات البنكية وسجل التغييرات بالسجل</w:t>
            </w:r>
          </w:p>
        </w:tc>
        <w:tc>
          <w:tcPr>
            <w:tcW w:type="dxa" w:w="1814"/>
          </w:tcPr>
          <w:p>
            <w:pPr>
              <w:bidi/>
              <w:spacing w:before="60" w:after="60"/>
            </w:pPr>
            <w:r>
              <w:rPr>
                <w:rtl/>
              </w:rPr>
              <w:t xml:space="preserve">يذكر أيضاً أي تفصيل كان من السهل إغفاله</w:t>
            </w:r>
          </w:p>
        </w:tc>
        <w:tc>
          <w:tcPr>
            <w:tcW w:type="dxa" w:w="2154"/>
          </w:tcPr>
          <w:p>
            <w:pPr>
              <w:bidi/>
              <w:spacing w:before="60" w:after="60"/>
            </w:pPr>
            <w:r>
              <w:rPr>
                <w:rtl/>
              </w:rPr>
              <w:t xml:space="preserve">قارنتَ النطاق وسجل التغييرات. في المرة القادمة، قارن أيضاً البيانات البنكية في الخطاب بالسجل.</w:t>
            </w:r>
          </w:p>
        </w:tc>
      </w:tr>
      <w:tr>
        <w:trPr>
          <w:cantSplit w:val="true"/>
        </w:trPr>
        <w:tc>
          <w:tcPr>
            <w:tcW w:type="dxa" w:w="2041"/>
            <w:shd w:val="clear" w:color="auto" w:fill="F7F0FB"/>
          </w:tcPr>
          <w:p>
            <w:pPr>
              <w:bidi/>
              <w:spacing w:before="60" w:after="60"/>
            </w:pPr>
            <w:r>
              <w:rPr>
                <w:b/>
                <w:bCs/>
                <w:rtl/>
              </w:rPr>
              <w:t xml:space="preserve">ذكر خطوة التحقق من الإجراء المعتمد</w:t>
            </w:r>
          </w:p>
        </w:tc>
        <w:tc>
          <w:tcPr>
            <w:tcW w:type="dxa" w:w="1814"/>
            <w:shd w:val="clear" w:color="auto" w:fill="F7F0FB"/>
          </w:tcPr>
          <w:p>
            <w:pPr>
              <w:bidi/>
              <w:spacing w:before="60" w:after="60"/>
            </w:pPr>
            <w:r>
              <w:rPr>
                <w:rtl/>
              </w:rPr>
              <w:t xml:space="preserve">لا اتصال، أو يتصل برقم وارد في الطلب</w:t>
            </w:r>
          </w:p>
        </w:tc>
        <w:tc>
          <w:tcPr>
            <w:tcW w:type="dxa" w:w="1814"/>
            <w:shd w:val="clear" w:color="auto" w:fill="F7F0FB"/>
          </w:tcPr>
          <w:p>
            <w:pPr>
              <w:bidi/>
              <w:spacing w:before="60" w:after="60"/>
            </w:pPr>
            <w:r>
              <w:rPr>
                <w:rtl/>
              </w:rPr>
              <w:t xml:space="preserve">يتصل بالرقم المسجل ويشترط موافقة ثانية</w:t>
            </w:r>
          </w:p>
        </w:tc>
        <w:tc>
          <w:tcPr>
            <w:tcW w:type="dxa" w:w="1814"/>
            <w:shd w:val="clear" w:color="auto" w:fill="F7F0FB"/>
          </w:tcPr>
          <w:p>
            <w:pPr>
              <w:bidi/>
              <w:spacing w:before="60" w:after="60"/>
            </w:pPr>
            <w:r>
              <w:rPr>
                <w:rtl/>
              </w:rPr>
              <w:t xml:space="preserve">يذكر الاتصال وموافقة الموظف الثاني</w:t>
            </w:r>
          </w:p>
        </w:tc>
        <w:tc>
          <w:tcPr>
            <w:tcW w:type="dxa" w:w="2154"/>
            <w:shd w:val="clear" w:color="auto" w:fill="F7F0FB"/>
          </w:tcPr>
          <w:p>
            <w:pPr>
              <w:bidi/>
              <w:spacing w:before="60" w:after="60"/>
            </w:pPr>
            <w:r>
              <w:rPr>
                <w:rtl/>
              </w:rPr>
              <w:t xml:space="preserve">ذكرتَ الخطوتين.</w:t>
            </w:r>
          </w:p>
        </w:tc>
      </w:tr>
      <w:tr>
        <w:trPr>
          <w:cantSplit w:val="true"/>
        </w:trPr>
        <w:tc>
          <w:tcPr>
            <w:tcW w:type="dxa" w:w="2041"/>
          </w:tcPr>
          <w:p>
            <w:pPr>
              <w:bidi/>
              <w:spacing w:before="60" w:after="60"/>
            </w:pPr>
            <w:r>
              <w:rPr>
                <w:b/>
                <w:bCs/>
                <w:rtl/>
              </w:rPr>
              <w:t xml:space="preserve">بيّن الإجراء التالي لتشغيل الدفعات</w:t>
            </w:r>
          </w:p>
        </w:tc>
        <w:tc>
          <w:tcPr>
            <w:tcW w:type="dxa" w:w="1814"/>
          </w:tcPr>
          <w:p>
            <w:pPr>
              <w:bidi/>
              <w:spacing w:before="60" w:after="60"/>
            </w:pPr>
            <w:r>
              <w:rPr>
                <w:rtl/>
              </w:rPr>
              <w:t xml:space="preserve">يترك الدفعة كما هي</w:t>
            </w:r>
          </w:p>
        </w:tc>
        <w:tc>
          <w:tcPr>
            <w:tcW w:type="dxa" w:w="1814"/>
          </w:tcPr>
          <w:p>
            <w:pPr>
              <w:bidi/>
              <w:spacing w:before="60" w:after="60"/>
            </w:pPr>
            <w:r>
              <w:rPr>
                <w:rtl/>
              </w:rPr>
              <w:t xml:space="preserve">يوقف الدفعة حتى يتم التحقق من التغيير</w:t>
            </w:r>
          </w:p>
        </w:tc>
        <w:tc>
          <w:tcPr>
            <w:tcW w:type="dxa" w:w="1814"/>
          </w:tcPr>
          <w:p>
            <w:pPr>
              <w:bidi/>
              <w:spacing w:before="60" w:after="60"/>
            </w:pPr>
            <w:r>
              <w:rPr>
                <w:rtl/>
              </w:rPr>
              <w:t xml:space="preserve">يذكر أيضاً من يُبلَّغ ومتى</w:t>
            </w:r>
          </w:p>
        </w:tc>
        <w:tc>
          <w:tcPr>
            <w:tcW w:type="dxa" w:w="2154"/>
          </w:tcPr>
          <w:p>
            <w:pPr>
              <w:bidi/>
              <w:spacing w:before="60" w:after="60"/>
            </w:pPr>
            <w:r>
              <w:rPr>
                <w:rtl/>
              </w:rPr>
              <w:t xml:space="preserve">أوقفتَ الدفعة وأبلغتَ المعتمِد.</w:t>
            </w:r>
          </w:p>
        </w:tc>
      </w:tr>
    </w:tbl>
    <w:p>
      <w:pPr>
        <w:bidi/>
        <w:spacing w:before="160"/>
      </w:pPr>
      <w:r>
        <w:rPr>
          <w:rtl/>
        </w:rPr>
        <w:t xml:space="preserve">هذه الأوصاف محفزات لتغذية راجعة مكتوبة. لا تجمعها في درجة: فالقرار الذي يراجع السجل ثم يسدد الفاتورة مع ذلك يكون قد أخفق في الحالة.</w:t>
      </w:r>
    </w:p>
    <w:p>
      <w:pPr>
        <w:keepNext/>
        <w:bidi/>
        <w:spacing w:before="240" w:after="80"/>
      </w:pPr>
      <w:r>
        <w:rPr>
          <w:b/>
          <w:bCs/>
          <w:color w:val="5D008F"/>
          <w:sz w:val="28"/>
          <w:szCs w:val="28"/>
          <w:rtl/>
        </w:rPr>
        <w:t xml:space="preserve">مثال محلول: قائمة التحقق الخاصة بي للطلب التالي</w:t>
      </w:r>
    </w:p>
    <w:tbl>
      <w:tblPr>
        <w:bidiVisual/>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4819"/>
            <w:shd w:val="clear" w:color="auto" w:fill="5D008F"/>
          </w:tcPr>
          <w:p>
            <w:pPr>
              <w:bidi/>
              <w:spacing w:before="60" w:after="60"/>
            </w:pPr>
            <w:r/>
            <w:r>
              <w:rPr>
                <w:b/>
                <w:bCs/>
                <w:color w:val="FFFFFF"/>
                <w:rtl/>
              </w:rPr>
              <w:t xml:space="preserve">فحصي</w:t>
            </w:r>
          </w:p>
        </w:tc>
        <w:tc>
          <w:tcPr>
            <w:tcW w:type="dxa" w:w="4819"/>
            <w:shd w:val="clear" w:color="auto" w:fill="5D008F"/>
          </w:tcPr>
          <w:p>
            <w:pPr>
              <w:bidi/>
              <w:spacing w:before="60" w:after="60"/>
            </w:pPr>
            <w:r/>
            <w:r>
              <w:rPr>
                <w:b/>
                <w:bCs/>
                <w:color w:val="FFFFFF"/>
                <w:rtl/>
              </w:rPr>
              <w:t xml:space="preserve">السبب</w:t>
            </w:r>
          </w:p>
        </w:tc>
      </w:tr>
      <w:tr>
        <w:trPr>
          <w:cantSplit w:val="true"/>
        </w:trPr>
        <w:tc>
          <w:tcPr>
            <w:tcW w:type="dxa" w:w="4819"/>
          </w:tcPr>
          <w:p>
            <w:pPr>
              <w:bidi/>
              <w:spacing w:before="60" w:after="60"/>
            </w:pPr>
            <w:r>
              <w:rPr>
                <w:b/>
                <w:bCs/>
                <w:rtl/>
              </w:rPr>
              <w:t xml:space="preserve">قارن عنوان المرسل بجهة الاتصال في سجل المورّد الرئيسي، حرفاً بحرف</w:t>
            </w:r>
          </w:p>
        </w:tc>
        <w:tc>
          <w:tcPr>
            <w:tcW w:type="dxa" w:w="4819"/>
          </w:tcPr>
          <w:p>
            <w:pPr>
              <w:bidi/>
              <w:spacing w:before="60" w:after="60"/>
            </w:pPr>
            <w:r>
              <w:rPr>
                <w:rtl/>
              </w:rPr>
              <w:t xml:space="preserve">النطاق شبه المطابق يبدو صحيحاً من النظرة الأولى</w:t>
            </w:r>
          </w:p>
        </w:tc>
      </w:tr>
      <w:tr>
        <w:trPr>
          <w:cantSplit w:val="true"/>
        </w:trPr>
        <w:tc>
          <w:tcPr>
            <w:tcW w:type="dxa" w:w="4819"/>
            <w:shd w:val="clear" w:color="auto" w:fill="F7F0FB"/>
          </w:tcPr>
          <w:p>
            <w:pPr>
              <w:bidi/>
              <w:spacing w:before="60" w:after="60"/>
            </w:pPr>
            <w:r>
              <w:rPr>
                <w:b/>
                <w:bCs/>
                <w:rtl/>
              </w:rPr>
              <w:t xml:space="preserve">راجع سجل التغييرات لهذا المورّد</w:t>
            </w:r>
          </w:p>
        </w:tc>
        <w:tc>
          <w:tcPr>
            <w:tcW w:type="dxa" w:w="4819"/>
            <w:shd w:val="clear" w:color="auto" w:fill="F7F0FB"/>
          </w:tcPr>
          <w:p>
            <w:pPr>
              <w:bidi/>
              <w:spacing w:before="60" w:after="60"/>
            </w:pPr>
            <w:r>
              <w:rPr>
                <w:rtl/>
              </w:rPr>
              <w:t xml:space="preserve">أول تغيير بعد سنوات يستحق نظرة أدق</w:t>
            </w:r>
          </w:p>
        </w:tc>
      </w:tr>
      <w:tr>
        <w:trPr>
          <w:cantSplit w:val="true"/>
        </w:trPr>
        <w:tc>
          <w:tcPr>
            <w:tcW w:type="dxa" w:w="4819"/>
          </w:tcPr>
          <w:p>
            <w:pPr>
              <w:bidi/>
              <w:spacing w:before="60" w:after="60"/>
            </w:pPr>
            <w:r>
              <w:rPr>
                <w:b/>
                <w:bCs/>
                <w:rtl/>
              </w:rPr>
              <w:t xml:space="preserve">اتصل بالرقم المسجل لديك أصلاً، لا برقم وارد في الطلب</w:t>
            </w:r>
          </w:p>
        </w:tc>
        <w:tc>
          <w:tcPr>
            <w:tcW w:type="dxa" w:w="4819"/>
          </w:tcPr>
          <w:p>
            <w:pPr>
              <w:bidi/>
              <w:spacing w:before="60" w:after="60"/>
            </w:pPr>
            <w:r>
              <w:rPr>
                <w:rtl/>
              </w:rPr>
              <w:t xml:space="preserve">الإجراء ينص على ذلك، وقد يكون الرقم الوارد في الطلب للمحتال</w:t>
            </w:r>
          </w:p>
        </w:tc>
      </w:tr>
      <w:tr>
        <w:trPr>
          <w:cantSplit w:val="true"/>
        </w:trPr>
        <w:tc>
          <w:tcPr>
            <w:tcW w:type="dxa" w:w="4819"/>
            <w:shd w:val="clear" w:color="auto" w:fill="F7F0FB"/>
          </w:tcPr>
          <w:p>
            <w:pPr>
              <w:bidi/>
              <w:spacing w:before="60" w:after="60"/>
            </w:pPr>
            <w:r>
              <w:rPr>
                <w:b/>
                <w:bCs/>
                <w:rtl/>
              </w:rPr>
              <w:t xml:space="preserve">احصل على موافقة موظف ثانٍ قبل الدفعة التالية</w:t>
            </w:r>
          </w:p>
        </w:tc>
        <w:tc>
          <w:tcPr>
            <w:tcW w:type="dxa" w:w="4819"/>
            <w:shd w:val="clear" w:color="auto" w:fill="F7F0FB"/>
          </w:tcPr>
          <w:p>
            <w:pPr>
              <w:bidi/>
              <w:spacing w:before="60" w:after="60"/>
            </w:pPr>
            <w:r>
              <w:rPr>
                <w:rtl/>
              </w:rPr>
              <w:t xml:space="preserve">الإجراء يشترط ذلك</w:t>
            </w:r>
          </w:p>
        </w:tc>
      </w:tr>
      <w:tr>
        <w:trPr>
          <w:cantSplit w:val="true"/>
        </w:trPr>
        <w:tc>
          <w:tcPr>
            <w:tcW w:type="dxa" w:w="4819"/>
          </w:tcPr>
          <w:p>
            <w:pPr>
              <w:bidi/>
              <w:spacing w:before="60" w:after="60"/>
            </w:pPr>
            <w:r>
              <w:rPr>
                <w:b/>
                <w:bCs/>
                <w:rtl/>
              </w:rPr>
              <w:t xml:space="preserve">أوقف أي دفعة مستحقة قبل التحقق من التغيير</w:t>
            </w:r>
          </w:p>
        </w:tc>
        <w:tc>
          <w:tcPr>
            <w:tcW w:type="dxa" w:w="4819"/>
          </w:tcPr>
          <w:p>
            <w:pPr>
              <w:bidi/>
              <w:spacing w:before="60" w:after="60"/>
            </w:pPr>
            <w:r>
              <w:rPr>
                <w:rtl/>
              </w:rPr>
              <w:t xml:space="preserve">السداد أولاً يصعب التراجع عنه</w:t>
            </w:r>
          </w:p>
        </w:tc>
      </w:tr>
    </w:tbl>
    <w:p>
      <w:pPr>
        <w:keepNext/>
        <w:pageBreakBefore/>
        <w:bidi/>
        <w:spacing w:before="240" w:after="80"/>
      </w:pPr>
      <w:r>
        <w:rPr>
          <w:b/>
          <w:bCs/>
          <w:color w:val="5D008F"/>
          <w:sz w:val="28"/>
          <w:szCs w:val="28"/>
          <w:rtl/>
        </w:rPr>
        <w:t xml:space="preserve">حالتك: الإجابة الأولى والإجابة النهائية</w:t>
      </w:r>
    </w:p>
    <w:p>
      <w:pPr>
        <w:bidi/>
      </w:pPr>
      <w:r>
        <w:rPr>
          <w:rtl/>
        </w:rPr>
        <w:t xml:space="preserve">الحالة:</w:t>
      </w:r>
    </w:p>
    <w:tbl>
      <w:tblPr>
        <w:bidiVisual/>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1984"/>
            <w:shd w:val="clear" w:color="auto" w:fill="5D008F"/>
          </w:tcPr>
          <w:p>
            <w:pPr>
              <w:bidi/>
              <w:spacing w:before="60" w:after="60"/>
            </w:pPr>
            <w:r/>
            <w:r>
              <w:rPr>
                <w:b/>
                <w:bCs/>
                <w:color w:val="FFFFFF"/>
                <w:rtl/>
              </w:rPr>
            </w:r>
          </w:p>
        </w:tc>
        <w:tc>
          <w:tcPr>
            <w:tcW w:type="dxa" w:w="7654"/>
            <w:shd w:val="clear" w:color="auto" w:fill="5D008F"/>
          </w:tcPr>
          <w:p>
            <w:pPr>
              <w:bidi/>
              <w:spacing w:before="60" w:after="60"/>
            </w:pPr>
            <w:r/>
            <w:r>
              <w:rPr>
                <w:b/>
                <w:bCs/>
                <w:color w:val="FFFFFF"/>
                <w:rtl/>
              </w:rPr>
              <w:t xml:space="preserve">إجابتك</w:t>
            </w:r>
          </w:p>
        </w:tc>
      </w:tr>
      <w:tr>
        <w:trPr>
          <w:cantSplit w:val="true"/>
          <w:trHeight w:val="2154"/>
        </w:trPr>
        <w:tc>
          <w:tcPr>
            <w:tcW w:type="dxa" w:w="1984"/>
          </w:tcPr>
          <w:p>
            <w:pPr>
              <w:bidi/>
              <w:spacing w:before="60" w:after="60"/>
            </w:pPr>
            <w:r>
              <w:rPr>
                <w:b/>
                <w:bCs/>
                <w:rtl/>
              </w:rPr>
              <w:t xml:space="preserve">الإجابة الأولى</w:t>
            </w:r>
          </w:p>
        </w:tc>
        <w:tc>
          <w:tcPr>
            <w:tcW w:type="dxa" w:w="7654"/>
          </w:tcPr>
          <w:p>
            <w:pPr>
              <w:bidi/>
              <w:spacing w:before="60" w:after="60"/>
            </w:pPr>
            <w:r/>
          </w:p>
        </w:tc>
      </w:tr>
      <w:tr>
        <w:trPr>
          <w:cantSplit w:val="true"/>
          <w:trHeight w:val="2154"/>
        </w:trPr>
        <w:tc>
          <w:tcPr>
            <w:tcW w:type="dxa" w:w="1984"/>
            <w:shd w:val="clear" w:color="auto" w:fill="F7F0FB"/>
          </w:tcPr>
          <w:p>
            <w:pPr>
              <w:bidi/>
              <w:spacing w:before="60" w:after="60"/>
            </w:pPr>
            <w:r>
              <w:rPr>
                <w:b/>
                <w:bCs/>
                <w:rtl/>
              </w:rPr>
              <w:t xml:space="preserve">الإجابة النهائية</w:t>
            </w:r>
          </w:p>
        </w:tc>
        <w:tc>
          <w:tcPr>
            <w:tcW w:type="dxa" w:w="7654"/>
            <w:shd w:val="clear" w:color="auto" w:fill="F7F0FB"/>
          </w:tcPr>
          <w:p>
            <w:pPr>
              <w:bidi/>
              <w:spacing w:before="60" w:after="60"/>
            </w:pPr>
            <w:r/>
          </w:p>
        </w:tc>
      </w:tr>
      <w:tr>
        <w:trPr>
          <w:cantSplit w:val="true"/>
          <w:trHeight w:val="2154"/>
        </w:trPr>
        <w:tc>
          <w:tcPr>
            <w:tcW w:type="dxa" w:w="1984"/>
          </w:tcPr>
          <w:p>
            <w:pPr>
              <w:bidi/>
              <w:spacing w:before="60" w:after="60"/>
            </w:pPr>
            <w:r>
              <w:rPr>
                <w:b/>
                <w:bCs/>
                <w:rtl/>
              </w:rPr>
              <w:t xml:space="preserve">ما الذي تغيّر في استدلالي</w:t>
            </w:r>
          </w:p>
        </w:tc>
        <w:tc>
          <w:tcPr>
            <w:tcW w:type="dxa" w:w="7654"/>
          </w:tcPr>
          <w:p>
            <w:pPr>
              <w:bidi/>
              <w:spacing w:before="60" w:after="60"/>
            </w:pPr>
            <w:r/>
          </w:p>
        </w:tc>
      </w:tr>
    </w:tbl>
    <w:p>
      <w:pPr>
        <w:keepNext/>
        <w:pageBreakBefore/>
        <w:bidi/>
        <w:spacing w:before="240" w:after="80"/>
      </w:pPr>
      <w:r>
        <w:rPr>
          <w:b/>
          <w:bCs/>
          <w:color w:val="5D008F"/>
          <w:sz w:val="28"/>
          <w:szCs w:val="28"/>
          <w:rtl/>
        </w:rPr>
        <w:t xml:space="preserve">حالتك: مقارنة استدلال الزملاء</w:t>
      </w:r>
    </w:p>
    <w:tbl>
      <w:tblPr>
        <w:bidiVisual/>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268"/>
            <w:shd w:val="clear" w:color="auto" w:fill="5D008F"/>
          </w:tcPr>
          <w:p>
            <w:pPr>
              <w:bidi/>
              <w:spacing w:before="60" w:after="60"/>
            </w:pPr>
            <w:r/>
            <w:r>
              <w:rPr>
                <w:b/>
                <w:bCs/>
                <w:color w:val="FFFFFF"/>
                <w:rtl/>
              </w:rPr>
              <w:t xml:space="preserve">قرار الزميل</w:t>
            </w:r>
          </w:p>
        </w:tc>
        <w:tc>
          <w:tcPr>
            <w:tcW w:type="dxa" w:w="3685"/>
            <w:shd w:val="clear" w:color="auto" w:fill="5D008F"/>
          </w:tcPr>
          <w:p>
            <w:pPr>
              <w:bidi/>
              <w:spacing w:before="60" w:after="60"/>
            </w:pPr>
            <w:r/>
            <w:r>
              <w:rPr>
                <w:b/>
                <w:bCs/>
                <w:color w:val="FFFFFF"/>
                <w:rtl/>
              </w:rPr>
              <w:t xml:space="preserve">استدلاله</w:t>
            </w:r>
          </w:p>
        </w:tc>
        <w:tc>
          <w:tcPr>
            <w:tcW w:type="dxa" w:w="3685"/>
            <w:shd w:val="clear" w:color="auto" w:fill="5D008F"/>
          </w:tcPr>
          <w:p>
            <w:pPr>
              <w:bidi/>
              <w:spacing w:before="60" w:after="60"/>
            </w:pPr>
            <w:r/>
            <w:r>
              <w:rPr>
                <w:b/>
                <w:bCs/>
                <w:color w:val="FFFFFF"/>
                <w:rtl/>
              </w:rPr>
              <w:t xml:space="preserve">هل أوافق، ولماذا؟</w:t>
            </w:r>
          </w:p>
        </w:tc>
      </w:tr>
      <w:tr>
        <w:trPr>
          <w:cantSplit w:val="true"/>
          <w:trHeight w:val="1814"/>
        </w:trPr>
        <w:tc>
          <w:tcPr>
            <w:tcW w:type="dxa" w:w="2268"/>
          </w:tcPr>
          <w:p>
            <w:pPr>
              <w:bidi/>
              <w:spacing w:before="60" w:after="60"/>
            </w:pPr>
            <w:r>
              <w:rPr>
                <w:b/>
                <w:bCs/>
                <w:rtl/>
              </w:rPr>
            </w:r>
          </w:p>
        </w:tc>
        <w:tc>
          <w:tcPr>
            <w:tcW w:type="dxa" w:w="3685"/>
          </w:tcPr>
          <w:p>
            <w:pPr>
              <w:bidi/>
              <w:spacing w:before="60" w:after="60"/>
            </w:pPr>
            <w:r/>
          </w:p>
        </w:tc>
        <w:tc>
          <w:tcPr>
            <w:tcW w:type="dxa" w:w="3685"/>
          </w:tcPr>
          <w:p>
            <w:pPr>
              <w:bidi/>
              <w:spacing w:before="60" w:after="60"/>
            </w:pPr>
            <w:r/>
          </w:p>
        </w:tc>
      </w:tr>
      <w:tr>
        <w:trPr>
          <w:cantSplit w:val="true"/>
          <w:trHeight w:val="1814"/>
        </w:trPr>
        <w:tc>
          <w:tcPr>
            <w:tcW w:type="dxa" w:w="2268"/>
            <w:shd w:val="clear" w:color="auto" w:fill="F7F0FB"/>
          </w:tcPr>
          <w:p>
            <w:pPr>
              <w:bidi/>
              <w:spacing w:before="60" w:after="60"/>
            </w:pPr>
            <w:r>
              <w:rPr>
                <w:b/>
                <w:bCs/>
                <w:rtl/>
              </w:rPr>
            </w:r>
          </w:p>
        </w:tc>
        <w:tc>
          <w:tcPr>
            <w:tcW w:type="dxa" w:w="3685"/>
            <w:shd w:val="clear" w:color="auto" w:fill="F7F0FB"/>
          </w:tcPr>
          <w:p>
            <w:pPr>
              <w:bidi/>
              <w:spacing w:before="60" w:after="60"/>
            </w:pPr>
            <w:r/>
          </w:p>
        </w:tc>
        <w:tc>
          <w:tcPr>
            <w:tcW w:type="dxa" w:w="3685"/>
            <w:shd w:val="clear" w:color="auto" w:fill="F7F0FB"/>
          </w:tcPr>
          <w:p>
            <w:pPr>
              <w:bidi/>
              <w:spacing w:before="60" w:after="60"/>
            </w:pPr>
            <w:r/>
          </w:p>
        </w:tc>
      </w:tr>
    </w:tbl>
    <w:p>
      <w:pPr>
        <w:keepNext/>
        <w:bidi/>
        <w:spacing w:before="240" w:after="80"/>
      </w:pPr>
      <w:r>
        <w:rPr>
          <w:b/>
          <w:bCs/>
          <w:color w:val="5D008F"/>
          <w:sz w:val="28"/>
          <w:szCs w:val="28"/>
          <w:rtl/>
        </w:rPr>
        <w:t xml:space="preserve">حالتك: التحقق من القرار النهائي</w:t>
      </w:r>
    </w:p>
    <w:tbl>
      <w:tblPr>
        <w:bidiVisual/>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2041"/>
            <w:shd w:val="clear" w:color="auto" w:fill="5D008F"/>
          </w:tcPr>
          <w:p>
            <w:pPr>
              <w:bidi/>
              <w:spacing w:before="60" w:after="60"/>
            </w:pPr>
            <w:r/>
            <w:r>
              <w:rPr>
                <w:b/>
                <w:bCs/>
                <w:color w:val="FFFFFF"/>
                <w:rtl/>
              </w:rPr>
              <w:t xml:space="preserve">المعيار</w:t>
            </w:r>
          </w:p>
        </w:tc>
        <w:tc>
          <w:tcPr>
            <w:tcW w:type="dxa" w:w="1814"/>
            <w:shd w:val="clear" w:color="auto" w:fill="5D008F"/>
          </w:tcPr>
          <w:p>
            <w:pPr>
              <w:bidi/>
              <w:spacing w:before="60" w:after="60"/>
            </w:pPr>
            <w:r/>
            <w:r>
              <w:rPr>
                <w:b/>
                <w:bCs/>
                <w:color w:val="FFFFFF"/>
                <w:rtl/>
              </w:rPr>
              <w:t xml:space="preserve">لم يتحقق بعد</w:t>
            </w:r>
          </w:p>
        </w:tc>
        <w:tc>
          <w:tcPr>
            <w:tcW w:type="dxa" w:w="1814"/>
            <w:shd w:val="clear" w:color="auto" w:fill="5D008F"/>
          </w:tcPr>
          <w:p>
            <w:pPr>
              <w:bidi/>
              <w:spacing w:before="60" w:after="60"/>
            </w:pPr>
            <w:r/>
            <w:r>
              <w:rPr>
                <w:b/>
                <w:bCs/>
                <w:color w:val="FFFFFF"/>
                <w:rtl/>
              </w:rPr>
              <w:t xml:space="preserve">يستوفي</w:t>
            </w:r>
          </w:p>
        </w:tc>
        <w:tc>
          <w:tcPr>
            <w:tcW w:type="dxa" w:w="1814"/>
            <w:shd w:val="clear" w:color="auto" w:fill="5D008F"/>
          </w:tcPr>
          <w:p>
            <w:pPr>
              <w:bidi/>
              <w:spacing w:before="60" w:after="60"/>
            </w:pPr>
            <w:r/>
            <w:r>
              <w:rPr>
                <w:b/>
                <w:bCs/>
                <w:color w:val="FFFFFF"/>
                <w:rtl/>
              </w:rPr>
              <w:t xml:space="preserve">يتجاوز</w:t>
            </w:r>
          </w:p>
        </w:tc>
        <w:tc>
          <w:tcPr>
            <w:tcW w:type="dxa" w:w="2154"/>
            <w:shd w:val="clear" w:color="auto" w:fill="5D008F"/>
          </w:tcPr>
          <w:p>
            <w:pPr>
              <w:bidi/>
              <w:spacing w:before="60" w:after="60"/>
            </w:pPr>
            <w:r/>
            <w:r>
              <w:rPr>
                <w:b/>
                <w:bCs/>
                <w:color w:val="FFFFFF"/>
                <w:rtl/>
              </w:rPr>
              <w:t xml:space="preserve">ملاحظة التغذية الراجعة</w:t>
            </w:r>
          </w:p>
        </w:tc>
      </w:tr>
      <w:tr>
        <w:trPr>
          <w:cantSplit w:val="true"/>
          <w:trHeight w:val="1361"/>
        </w:trPr>
        <w:tc>
          <w:tcPr>
            <w:tcW w:type="dxa" w:w="2041"/>
          </w:tcPr>
          <w:p>
            <w:pPr>
              <w:bidi/>
              <w:spacing w:before="60" w:after="60"/>
            </w:pPr>
            <w:r>
              <w:rPr>
                <w:b/>
                <w:bCs/>
                <w:rtl/>
              </w:rPr>
            </w:r>
          </w:p>
        </w:tc>
        <w:tc>
          <w:tcPr>
            <w:tcW w:type="dxa" w:w="1814"/>
          </w:tcPr>
          <w:p>
            <w:pPr>
              <w:bidi/>
              <w:spacing w:before="60" w:after="60"/>
            </w:pPr>
            <w:r/>
          </w:p>
        </w:tc>
        <w:tc>
          <w:tcPr>
            <w:tcW w:type="dxa" w:w="1814"/>
          </w:tcPr>
          <w:p>
            <w:pPr>
              <w:bidi/>
              <w:spacing w:before="60" w:after="60"/>
            </w:pPr>
            <w:r/>
          </w:p>
        </w:tc>
        <w:tc>
          <w:tcPr>
            <w:tcW w:type="dxa" w:w="1814"/>
          </w:tcPr>
          <w:p>
            <w:pPr>
              <w:bidi/>
              <w:spacing w:before="60" w:after="60"/>
            </w:pPr>
            <w:r/>
          </w:p>
        </w:tc>
        <w:tc>
          <w:tcPr>
            <w:tcW w:type="dxa" w:w="2154"/>
          </w:tcPr>
          <w:p>
            <w:pPr>
              <w:bidi/>
              <w:spacing w:before="60" w:after="60"/>
            </w:pPr>
            <w:r/>
          </w:p>
        </w:tc>
      </w:tr>
      <w:tr>
        <w:trPr>
          <w:cantSplit w:val="true"/>
          <w:trHeight w:val="1361"/>
        </w:trPr>
        <w:tc>
          <w:tcPr>
            <w:tcW w:type="dxa" w:w="2041"/>
            <w:shd w:val="clear" w:color="auto" w:fill="F7F0FB"/>
          </w:tcPr>
          <w:p>
            <w:pPr>
              <w:bidi/>
              <w:spacing w:before="60" w:after="60"/>
            </w:pPr>
            <w:r>
              <w:rPr>
                <w:b/>
                <w:bCs/>
                <w:rtl/>
              </w:rPr>
            </w:r>
          </w:p>
        </w:tc>
        <w:tc>
          <w:tcPr>
            <w:tcW w:type="dxa" w:w="1814"/>
            <w:shd w:val="clear" w:color="auto" w:fill="F7F0FB"/>
          </w:tcPr>
          <w:p>
            <w:pPr>
              <w:bidi/>
              <w:spacing w:before="60" w:after="60"/>
            </w:pPr>
            <w:r/>
          </w:p>
        </w:tc>
        <w:tc>
          <w:tcPr>
            <w:tcW w:type="dxa" w:w="1814"/>
            <w:shd w:val="clear" w:color="auto" w:fill="F7F0FB"/>
          </w:tcPr>
          <w:p>
            <w:pPr>
              <w:bidi/>
              <w:spacing w:before="60" w:after="60"/>
            </w:pPr>
            <w:r/>
          </w:p>
        </w:tc>
        <w:tc>
          <w:tcPr>
            <w:tcW w:type="dxa" w:w="1814"/>
            <w:shd w:val="clear" w:color="auto" w:fill="F7F0FB"/>
          </w:tcPr>
          <w:p>
            <w:pPr>
              <w:bidi/>
              <w:spacing w:before="60" w:after="60"/>
            </w:pPr>
            <w:r/>
          </w:p>
        </w:tc>
        <w:tc>
          <w:tcPr>
            <w:tcW w:type="dxa" w:w="2154"/>
            <w:shd w:val="clear" w:color="auto" w:fill="F7F0FB"/>
          </w:tcPr>
          <w:p>
            <w:pPr>
              <w:bidi/>
              <w:spacing w:before="60" w:after="60"/>
            </w:pPr>
            <w:r/>
          </w:p>
        </w:tc>
      </w:tr>
      <w:tr>
        <w:trPr>
          <w:cantSplit w:val="true"/>
          <w:trHeight w:val="1361"/>
        </w:trPr>
        <w:tc>
          <w:tcPr>
            <w:tcW w:type="dxa" w:w="2041"/>
          </w:tcPr>
          <w:p>
            <w:pPr>
              <w:bidi/>
              <w:spacing w:before="60" w:after="60"/>
            </w:pPr>
            <w:r>
              <w:rPr>
                <w:b/>
                <w:bCs/>
                <w:rtl/>
              </w:rPr>
            </w:r>
          </w:p>
        </w:tc>
        <w:tc>
          <w:tcPr>
            <w:tcW w:type="dxa" w:w="1814"/>
          </w:tcPr>
          <w:p>
            <w:pPr>
              <w:bidi/>
              <w:spacing w:before="60" w:after="60"/>
            </w:pPr>
            <w:r/>
          </w:p>
        </w:tc>
        <w:tc>
          <w:tcPr>
            <w:tcW w:type="dxa" w:w="1814"/>
          </w:tcPr>
          <w:p>
            <w:pPr>
              <w:bidi/>
              <w:spacing w:before="60" w:after="60"/>
            </w:pPr>
            <w:r/>
          </w:p>
        </w:tc>
        <w:tc>
          <w:tcPr>
            <w:tcW w:type="dxa" w:w="1814"/>
          </w:tcPr>
          <w:p>
            <w:pPr>
              <w:bidi/>
              <w:spacing w:before="60" w:after="60"/>
            </w:pPr>
            <w:r/>
          </w:p>
        </w:tc>
        <w:tc>
          <w:tcPr>
            <w:tcW w:type="dxa" w:w="2154"/>
          </w:tcPr>
          <w:p>
            <w:pPr>
              <w:bidi/>
              <w:spacing w:before="60" w:after="60"/>
            </w:pPr>
            <w:r/>
          </w:p>
        </w:tc>
      </w:tr>
    </w:tbl>
    <w:p>
      <w:pPr>
        <w:keepNext/>
        <w:pageBreakBefore/>
        <w:bidi/>
        <w:spacing w:before="240" w:after="80"/>
      </w:pPr>
      <w:r>
        <w:rPr>
          <w:b/>
          <w:bCs/>
          <w:color w:val="5D008F"/>
          <w:sz w:val="28"/>
          <w:szCs w:val="28"/>
          <w:rtl/>
        </w:rPr>
        <w:t xml:space="preserve">قائمة التحقق الخاصة بك للحالة التالية</w:t>
      </w:r>
    </w:p>
    <w:tbl>
      <w:tblPr>
        <w:bidiVisual/>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4819"/>
            <w:shd w:val="clear" w:color="auto" w:fill="5D008F"/>
          </w:tcPr>
          <w:p>
            <w:pPr>
              <w:bidi/>
              <w:spacing w:before="60" w:after="60"/>
            </w:pPr>
            <w:r/>
            <w:r>
              <w:rPr>
                <w:b/>
                <w:bCs/>
                <w:color w:val="FFFFFF"/>
                <w:rtl/>
              </w:rPr>
              <w:t xml:space="preserve">فحصي</w:t>
            </w:r>
          </w:p>
        </w:tc>
        <w:tc>
          <w:tcPr>
            <w:tcW w:type="dxa" w:w="4819"/>
            <w:shd w:val="clear" w:color="auto" w:fill="5D008F"/>
          </w:tcPr>
          <w:p>
            <w:pPr>
              <w:bidi/>
              <w:spacing w:before="60" w:after="60"/>
            </w:pPr>
            <w:r/>
            <w:r>
              <w:rPr>
                <w:b/>
                <w:bCs/>
                <w:color w:val="FFFFFF"/>
                <w:rtl/>
              </w:rPr>
              <w:t xml:space="preserve">السبب</w:t>
            </w:r>
          </w:p>
        </w:tc>
      </w:tr>
      <w:tr>
        <w:trPr>
          <w:cantSplit w:val="true"/>
          <w:trHeight w:val="964"/>
        </w:trPr>
        <w:tc>
          <w:tcPr>
            <w:tcW w:type="dxa" w:w="4819"/>
          </w:tcPr>
          <w:p>
            <w:pPr>
              <w:bidi/>
              <w:spacing w:before="60" w:after="60"/>
            </w:pPr>
            <w:r>
              <w:rPr>
                <w:b/>
                <w:bCs/>
                <w:rtl/>
              </w:rPr>
            </w:r>
          </w:p>
        </w:tc>
        <w:tc>
          <w:tcPr>
            <w:tcW w:type="dxa" w:w="4819"/>
          </w:tcPr>
          <w:p>
            <w:pPr>
              <w:bidi/>
              <w:spacing w:before="60" w:after="60"/>
            </w:pPr>
            <w:r/>
          </w:p>
        </w:tc>
      </w:tr>
      <w:tr>
        <w:trPr>
          <w:cantSplit w:val="true"/>
          <w:trHeight w:val="964"/>
        </w:trPr>
        <w:tc>
          <w:tcPr>
            <w:tcW w:type="dxa" w:w="4819"/>
            <w:shd w:val="clear" w:color="auto" w:fill="F7F0FB"/>
          </w:tcPr>
          <w:p>
            <w:pPr>
              <w:bidi/>
              <w:spacing w:before="60" w:after="60"/>
            </w:pPr>
            <w:r>
              <w:rPr>
                <w:b/>
                <w:bCs/>
                <w:rtl/>
              </w:rPr>
            </w:r>
          </w:p>
        </w:tc>
        <w:tc>
          <w:tcPr>
            <w:tcW w:type="dxa" w:w="4819"/>
            <w:shd w:val="clear" w:color="auto" w:fill="F7F0FB"/>
          </w:tcPr>
          <w:p>
            <w:pPr>
              <w:bidi/>
              <w:spacing w:before="60" w:after="60"/>
            </w:pPr>
            <w:r/>
          </w:p>
        </w:tc>
      </w:tr>
      <w:tr>
        <w:trPr>
          <w:cantSplit w:val="true"/>
          <w:trHeight w:val="964"/>
        </w:trPr>
        <w:tc>
          <w:tcPr>
            <w:tcW w:type="dxa" w:w="4819"/>
          </w:tcPr>
          <w:p>
            <w:pPr>
              <w:bidi/>
              <w:spacing w:before="60" w:after="60"/>
            </w:pPr>
            <w:r>
              <w:rPr>
                <w:b/>
                <w:bCs/>
                <w:rtl/>
              </w:rPr>
            </w:r>
          </w:p>
        </w:tc>
        <w:tc>
          <w:tcPr>
            <w:tcW w:type="dxa" w:w="4819"/>
          </w:tcPr>
          <w:p>
            <w:pPr>
              <w:bidi/>
              <w:spacing w:before="60" w:after="60"/>
            </w:pPr>
            <w:r/>
          </w:p>
        </w:tc>
      </w:tr>
      <w:tr>
        <w:trPr>
          <w:cantSplit w:val="true"/>
          <w:trHeight w:val="964"/>
        </w:trPr>
        <w:tc>
          <w:tcPr>
            <w:tcW w:type="dxa" w:w="4819"/>
            <w:shd w:val="clear" w:color="auto" w:fill="F7F0FB"/>
          </w:tcPr>
          <w:p>
            <w:pPr>
              <w:bidi/>
              <w:spacing w:before="60" w:after="60"/>
            </w:pPr>
            <w:r>
              <w:rPr>
                <w:b/>
                <w:bCs/>
                <w:rtl/>
              </w:rPr>
            </w:r>
          </w:p>
        </w:tc>
        <w:tc>
          <w:tcPr>
            <w:tcW w:type="dxa" w:w="4819"/>
            <w:shd w:val="clear" w:color="auto" w:fill="F7F0FB"/>
          </w:tcPr>
          <w:p>
            <w:pPr>
              <w:bidi/>
              <w:spacing w:before="60" w:after="60"/>
            </w:pPr>
            <w:r/>
          </w:p>
        </w:tc>
      </w:tr>
      <w:tr>
        <w:trPr>
          <w:cantSplit w:val="true"/>
          <w:trHeight w:val="964"/>
        </w:trPr>
        <w:tc>
          <w:tcPr>
            <w:tcW w:type="dxa" w:w="4819"/>
          </w:tcPr>
          <w:p>
            <w:pPr>
              <w:bidi/>
              <w:spacing w:before="60" w:after="60"/>
            </w:pPr>
            <w:r>
              <w:rPr>
                <w:b/>
                <w:bCs/>
                <w:rtl/>
              </w:rPr>
            </w:r>
          </w:p>
        </w:tc>
        <w:tc>
          <w:tcPr>
            <w:tcW w:type="dxa" w:w="4819"/>
          </w:tcPr>
          <w:p>
            <w:pPr>
              <w:bidi/>
              <w:spacing w:before="60" w:after="60"/>
            </w:pPr>
            <w:r/>
          </w:p>
        </w:tc>
      </w:tr>
      <w:tr>
        <w:trPr>
          <w:cantSplit w:val="true"/>
          <w:trHeight w:val="964"/>
        </w:trPr>
        <w:tc>
          <w:tcPr>
            <w:tcW w:type="dxa" w:w="4819"/>
            <w:shd w:val="clear" w:color="auto" w:fill="F7F0FB"/>
          </w:tcPr>
          <w:p>
            <w:pPr>
              <w:bidi/>
              <w:spacing w:before="60" w:after="60"/>
            </w:pPr>
            <w:r>
              <w:rPr>
                <w:b/>
                <w:bCs/>
                <w:rtl/>
              </w:rPr>
            </w:r>
          </w:p>
        </w:tc>
        <w:tc>
          <w:tcPr>
            <w:tcW w:type="dxa" w:w="4819"/>
            <w:shd w:val="clear" w:color="auto" w:fill="F7F0FB"/>
          </w:tcPr>
          <w:p>
            <w:pPr>
              <w:bidi/>
              <w:spacing w:before="60" w:after="60"/>
            </w:pPr>
            <w:r/>
          </w:p>
        </w:tc>
      </w:tr>
    </w:tbl>
    <w:p>
      <w:pPr>
        <w:bidi/>
        <w:spacing w:before="160"/>
      </w:pPr>
      <w:r>
        <w:rPr>
          <w:i/>
          <w:iCs/>
          <w:color w:val="5A5766"/>
          <w:rtl/>
        </w:rPr>
        <w:t xml:space="preserve">تكييف خاص من Coursebox لأساليب التعبير والتأمل الموصوفة في Collins, A., Brown, J. S. and Holum, A. (1991) Cognitive apprenticeship: Making thinking visible. American Educator, 15(3). أوصاف المعايير محفزات تخطيط وليست سلّم تقييم مُحقَّقاً علمياً، ولا تعطي هذه الورقة درجة. تحقق في العمل من استخدام قائمة التحقق فعلياً.</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pPr>
    <w:r>
      <w:rPr>
        <w:color w:val="5A5766"/>
        <w:sz w:val="16"/>
        <w:szCs w:val="16"/>
        <w:rtl/>
      </w:rPr>
      <w:t xml:space="preserve">coursebox.ai  |  قالب مجاني  |  صفحة </w:t>
    </w:r>
    <w:r>
      <w:rPr>
        <w:color w:val="5A5766"/>
        <w:sz w:val="16"/>
        <w:szCs w:val="16"/>
        <w:rtl/>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