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Which Approach for Which Objective: Course Planner</w:t>
      </w:r>
    </w:p>
    <w:p>
      <w:r>
        <w:rPr>
          <w:color w:val="5A5766"/>
          <w:sz w:val="22"/>
        </w:rPr>
        <w:t>Choose a behaviorist, cognitivist or constructivist approach for each objective from what learners already know and what the task demands. Adapted from Ertmer and Newby's matching of strategies to the learner's task knowledge and the thinking a task requires. A planning aid, not a validated instrument. The refund course is filled in.</w:t>
      </w:r>
    </w:p>
    <w:p>
      <w:r>
        <w:rPr>
          <w:i/>
          <w:color w:val="5A5766"/>
          <w:sz w:val="18"/>
        </w:rPr>
        <w:t>From the Coursebox blog: coursebox.ai/blog/behaviorism-cognitivism-constructivism-learning-theories</w:t>
      </w:r>
    </w:p>
    <w:p>
      <w:pPr>
        <w:keepNext/>
        <w:spacing w:before="240" w:after="80"/>
      </w:pPr>
      <w:r>
        <w:rPr>
          <w:b/>
          <w:color w:val="5D008F"/>
          <w:sz w:val="28"/>
        </w:rPr>
        <w:t>How to use this planner</w:t>
      </w:r>
    </w:p>
    <w:p>
      <w:pPr>
        <w:pStyle w:val="ListBullet"/>
      </w:pPr>
      <w:r>
        <w:t>List the objectives from the job, as things people do, such as "log a refund request".</w:t>
      </w:r>
    </w:p>
    <w:p>
      <w:pPr>
        <w:pStyle w:val="ListBullet"/>
      </w:pPr>
      <w:r>
        <w:t>For each objective, find out how much learners already know about that task. Ask, test or look at their work, and do not assume it from a job title.</w:t>
      </w:r>
    </w:p>
    <w:p>
      <w:pPr>
        <w:pStyle w:val="ListBullet"/>
      </w:pPr>
      <w:r>
        <w:t>Decide what kind of task it is: a fixed routine, a rule applied to new cases, or a problem with no single right answer.</w:t>
      </w:r>
    </w:p>
    <w:p>
      <w:pPr>
        <w:pStyle w:val="ListBullet"/>
      </w:pPr>
      <w:r>
        <w:t>Choose the approach to lead with from the decision guide, then write an activity and an assessment that match it.</w:t>
      </w:r>
    </w:p>
    <w:p>
      <w:pPr>
        <w:pStyle w:val="ListBullet"/>
      </w:pPr>
      <w:r>
        <w:t>Plan how guidance fades as learners gain experience, and schedule refresher practice for drilled routines.</w:t>
      </w:r>
    </w:p>
    <w:p>
      <w:pPr>
        <w:pStyle w:val="ListBullet"/>
      </w:pPr>
      <w:r>
        <w:t>Many courses need more than one approach. If every objective has the same approach, check the plan again.</w:t>
      </w:r>
    </w:p>
    <w:p>
      <w:pPr>
        <w:keepNext/>
        <w:spacing w:before="240" w:after="80"/>
      </w:pPr>
      <w:r>
        <w:rPr>
          <w:b/>
          <w:color w:val="5D008F"/>
          <w:sz w:val="28"/>
        </w:rPr>
        <w:t>Decision guide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701"/>
            <w:shd w:val="clear" w:color="auto" w:fill="5D008F"/>
          </w:tcPr>
          <w:p>
            <w:pPr>
              <w:spacing w:before="60" w:after="60"/>
            </w:pPr>
            <w:r/>
            <w:r>
              <w:rPr>
                <w:b/>
                <w:color w:val="FFFFFF"/>
              </w:rPr>
              <w:t>Learners' task knowledge</w:t>
            </w:r>
          </w:p>
        </w:tc>
        <w:tc>
          <w:tcPr>
            <w:tcW w:type="dxa" w:w="1871"/>
            <w:shd w:val="clear" w:color="auto" w:fill="5D008F"/>
          </w:tcPr>
          <w:p>
            <w:pPr>
              <w:spacing w:before="60" w:after="60"/>
            </w:pPr>
            <w:r/>
            <w:r>
              <w:rPr>
                <w:b/>
                <w:color w:val="FFFFFF"/>
              </w:rPr>
              <w:t>Type of task</w:t>
            </w:r>
          </w:p>
        </w:tc>
        <w:tc>
          <w:tcPr>
            <w:tcW w:type="dxa" w:w="1701"/>
            <w:shd w:val="clear" w:color="auto" w:fill="5D008F"/>
          </w:tcPr>
          <w:p>
            <w:pPr>
              <w:spacing w:before="60" w:after="60"/>
            </w:pPr>
            <w:r/>
            <w:r>
              <w:rPr>
                <w:b/>
                <w:color w:val="FFFFFF"/>
              </w:rPr>
              <w:t>Approach to lead with</w:t>
            </w:r>
          </w:p>
        </w:tc>
        <w:tc>
          <w:tcPr>
            <w:tcW w:type="dxa" w:w="2268"/>
            <w:shd w:val="clear" w:color="auto" w:fill="5D008F"/>
          </w:tcPr>
          <w:p>
            <w:pPr>
              <w:spacing w:before="60" w:after="60"/>
            </w:pPr>
            <w:r/>
            <w:r>
              <w:rPr>
                <w:b/>
                <w:color w:val="FFFFFF"/>
              </w:rPr>
              <w:t>Typical activity</w:t>
            </w:r>
          </w:p>
        </w:tc>
        <w:tc>
          <w:tcPr>
            <w:tcW w:type="dxa" w:w="2098"/>
            <w:shd w:val="clear" w:color="auto" w:fill="5D008F"/>
          </w:tcPr>
          <w:p>
            <w:pPr>
              <w:spacing w:before="60" w:after="60"/>
            </w:pPr>
            <w:r/>
            <w:r>
              <w:rPr>
                <w:b/>
                <w:color w:val="FFFFFF"/>
              </w:rPr>
              <w:t>Typical assessment</w:t>
            </w:r>
          </w:p>
        </w:tc>
      </w:tr>
      <w:tr>
        <w:trPr>
          <w:cantSplit w:val="true"/>
        </w:trPr>
        <w:tc>
          <w:tcPr>
            <w:tcW w:type="dxa" w:w="1701"/>
          </w:tcPr>
          <w:p>
            <w:pPr>
              <w:spacing w:before="60" w:after="60"/>
            </w:pPr>
            <w:r>
              <w:rPr>
                <w:b/>
              </w:rPr>
              <w:t>Low</w:t>
            </w:r>
          </w:p>
        </w:tc>
        <w:tc>
          <w:tcPr>
            <w:tcW w:type="dxa" w:w="1871"/>
          </w:tcPr>
          <w:p>
            <w:pPr>
              <w:spacing w:before="60" w:after="60"/>
            </w:pPr>
            <w:r>
              <w:t>Fixed routine, facts or discriminations</w:t>
            </w:r>
          </w:p>
        </w:tc>
        <w:tc>
          <w:tcPr>
            <w:tcW w:type="dxa" w:w="1701"/>
          </w:tcPr>
          <w:p>
            <w:pPr>
              <w:spacing w:before="60" w:after="60"/>
            </w:pPr>
            <w:r>
              <w:t>Behaviorist</w:t>
            </w:r>
          </w:p>
        </w:tc>
        <w:tc>
          <w:tcPr>
            <w:tcW w:type="dxa" w:w="2268"/>
          </w:tcPr>
          <w:p>
            <w:pPr>
              <w:spacing w:before="60" w:after="60"/>
            </w:pPr>
            <w:r>
              <w:t>Cues, then repeated practice with immediate right or wrong feedback</w:t>
            </w:r>
          </w:p>
        </w:tc>
        <w:tc>
          <w:tcPr>
            <w:tcW w:type="dxa" w:w="2098"/>
          </w:tcPr>
          <w:p>
            <w:pPr>
              <w:spacing w:before="60" w:after="60"/>
            </w:pPr>
            <w:r>
              <w:t>Right or wrong items against a mastery standard</w:t>
            </w:r>
          </w:p>
        </w:tc>
      </w:tr>
      <w:tr>
        <w:trPr>
          <w:cantSplit w:val="true"/>
        </w:trPr>
        <w:tc>
          <w:tcPr>
            <w:tcW w:type="dxa" w:w="1701"/>
            <w:shd w:val="clear" w:color="auto" w:fill="F7F0FB"/>
          </w:tcPr>
          <w:p>
            <w:pPr>
              <w:spacing w:before="60" w:after="60"/>
            </w:pPr>
            <w:r>
              <w:rPr>
                <w:b/>
              </w:rPr>
              <w:t>Low to middling</w:t>
            </w:r>
          </w:p>
        </w:tc>
        <w:tc>
          <w:tcPr>
            <w:tcW w:type="dxa" w:w="1871"/>
            <w:shd w:val="clear" w:color="auto" w:fill="F7F0FB"/>
          </w:tcPr>
          <w:p>
            <w:pPr>
              <w:spacing w:before="60" w:after="60"/>
            </w:pPr>
            <w:r>
              <w:t>Defined rules applied to new cases</w:t>
            </w:r>
          </w:p>
        </w:tc>
        <w:tc>
          <w:tcPr>
            <w:tcW w:type="dxa" w:w="1701"/>
            <w:shd w:val="clear" w:color="auto" w:fill="F7F0FB"/>
          </w:tcPr>
          <w:p>
            <w:pPr>
              <w:spacing w:before="60" w:after="60"/>
            </w:pPr>
            <w:r>
              <w:t>Cognitivist</w:t>
            </w:r>
          </w:p>
        </w:tc>
        <w:tc>
          <w:tcPr>
            <w:tcW w:type="dxa" w:w="2268"/>
            <w:shd w:val="clear" w:color="auto" w:fill="F7F0FB"/>
          </w:tcPr>
          <w:p>
            <w:pPr>
              <w:spacing w:before="60" w:after="60"/>
            </w:pPr>
            <w:r>
              <w:t>Explanation in chunks, a worked example and a summary</w:t>
            </w:r>
          </w:p>
        </w:tc>
        <w:tc>
          <w:tcPr>
            <w:tcW w:type="dxa" w:w="2098"/>
            <w:shd w:val="clear" w:color="auto" w:fill="F7F0FB"/>
          </w:tcPr>
          <w:p>
            <w:pPr>
              <w:spacing w:before="60" w:after="60"/>
            </w:pPr>
            <w:r>
              <w:t>New cases decided and justified by the rule</w:t>
            </w:r>
          </w:p>
        </w:tc>
      </w:tr>
      <w:tr>
        <w:trPr>
          <w:cantSplit w:val="true"/>
        </w:trPr>
        <w:tc>
          <w:tcPr>
            <w:tcW w:type="dxa" w:w="1701"/>
          </w:tcPr>
          <w:p>
            <w:pPr>
              <w:spacing w:before="60" w:after="60"/>
            </w:pPr>
            <w:r>
              <w:rPr>
                <w:b/>
              </w:rPr>
              <w:t>Middling to high</w:t>
            </w:r>
          </w:p>
        </w:tc>
        <w:tc>
          <w:tcPr>
            <w:tcW w:type="dxa" w:w="1871"/>
          </w:tcPr>
          <w:p>
            <w:pPr>
              <w:spacing w:before="60" w:after="60"/>
            </w:pPr>
            <w:r>
              <w:t>Problem with no single right answer</w:t>
            </w:r>
          </w:p>
        </w:tc>
        <w:tc>
          <w:tcPr>
            <w:tcW w:type="dxa" w:w="1701"/>
          </w:tcPr>
          <w:p>
            <w:pPr>
              <w:spacing w:before="60" w:after="60"/>
            </w:pPr>
            <w:r>
              <w:t>Constructivist, with guidance</w:t>
            </w:r>
          </w:p>
        </w:tc>
        <w:tc>
          <w:tcPr>
            <w:tcW w:type="dxa" w:w="2268"/>
          </w:tcPr>
          <w:p>
            <w:pPr>
              <w:spacing w:before="60" w:after="60"/>
            </w:pPr>
            <w:r>
              <w:t>A realistic case, coaching, comparing views and reflection</w:t>
            </w:r>
          </w:p>
        </w:tc>
        <w:tc>
          <w:tcPr>
            <w:tcW w:type="dxa" w:w="2098"/>
          </w:tcPr>
          <w:p>
            <w:pPr>
              <w:spacing w:before="60" w:after="60"/>
            </w:pPr>
            <w:r>
              <w:t>A new open case judged against set criteria</w:t>
            </w:r>
          </w:p>
        </w:tc>
      </w:tr>
      <w:tr>
        <w:trPr>
          <w:cantSplit w:val="true"/>
        </w:trPr>
        <w:tc>
          <w:tcPr>
            <w:tcW w:type="dxa" w:w="1701"/>
            <w:shd w:val="clear" w:color="auto" w:fill="F7F0FB"/>
          </w:tcPr>
          <w:p>
            <w:pPr>
              <w:spacing w:before="60" w:after="60"/>
            </w:pPr>
            <w:r>
              <w:rPr>
                <w:b/>
              </w:rPr>
              <w:t>High, rules already known</w:t>
            </w:r>
          </w:p>
        </w:tc>
        <w:tc>
          <w:tcPr>
            <w:tcW w:type="dxa" w:w="1871"/>
            <w:shd w:val="clear" w:color="auto" w:fill="F7F0FB"/>
          </w:tcPr>
          <w:p>
            <w:pPr>
              <w:spacing w:before="60" w:after="60"/>
            </w:pPr>
            <w:r>
              <w:t>Defined rules applied to new cases</w:t>
            </w:r>
          </w:p>
        </w:tc>
        <w:tc>
          <w:tcPr>
            <w:tcW w:type="dxa" w:w="1701"/>
            <w:shd w:val="clear" w:color="auto" w:fill="F7F0FB"/>
          </w:tcPr>
          <w:p>
            <w:pPr>
              <w:spacing w:before="60" w:after="60"/>
            </w:pPr>
            <w:r>
              <w:t>Cognitivist, with less support</w:t>
            </w:r>
          </w:p>
        </w:tc>
        <w:tc>
          <w:tcPr>
            <w:tcW w:type="dxa" w:w="2268"/>
            <w:shd w:val="clear" w:color="auto" w:fill="F7F0FB"/>
          </w:tcPr>
          <w:p>
            <w:pPr>
              <w:spacing w:before="60" w:after="60"/>
            </w:pPr>
            <w:r>
              <w:t>Worked examples faded out into independent problems</w:t>
            </w:r>
          </w:p>
        </w:tc>
        <w:tc>
          <w:tcPr>
            <w:tcW w:type="dxa" w:w="2098"/>
            <w:shd w:val="clear" w:color="auto" w:fill="F7F0FB"/>
          </w:tcPr>
          <w:p>
            <w:pPr>
              <w:spacing w:before="60" w:after="60"/>
            </w:pPr>
            <w:r>
              <w:t>New cases without prompts</w:t>
            </w:r>
          </w:p>
        </w:tc>
      </w:tr>
    </w:tbl>
    <w:p>
      <w:pPr>
        <w:spacing w:before="160"/>
      </w:pPr>
      <w:r>
        <w:rPr>
          <w:i/>
          <w:color w:val="5A5766"/>
        </w:rPr>
        <w:t>Based on Ertmer, P. A. and Newby, T. J., Performance Improvement Quarterly 26(2), 2013, pp. 60 to 62 (reprint of the 1993 article), and Kalyuga, Ayres, Chandler and Sweller, Educational Psychologist 38(1), 2003, on fading worked examples.</w:t>
      </w:r>
    </w:p>
    <w:p>
      <w:pPr>
        <w:keepNext/>
        <w:pageBreakBefore/>
        <w:spacing w:before="240" w:after="80"/>
      </w:pPr>
      <w:r>
        <w:rPr>
          <w:b/>
          <w:color w:val="5D008F"/>
          <w:sz w:val="28"/>
        </w:rPr>
        <w:t>1. Worked example: the refund course</w:t>
      </w:r>
    </w:p>
    <w:p>
      <w:r>
        <w:t>Refund requests (a hypothetical example): new agents at an energy retailer's contact centre handle refund requests on the phone. They have the refund policy, the CRM screens and the customer's account history to work from, and none of them has used this retailer's CRM or policy before.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3402"/>
            <w:shd w:val="clear" w:color="auto" w:fill="5D008F"/>
          </w:tcPr>
          <w:p>
            <w:pPr>
              <w:spacing w:before="60" w:after="60"/>
            </w:pPr>
            <w:r/>
            <w:r>
              <w:rPr>
                <w:b/>
                <w:color w:val="FFFFFF"/>
              </w:rPr>
              <w:t>Objective</w:t>
            </w:r>
          </w:p>
        </w:tc>
        <w:tc>
          <w:tcPr>
            <w:tcW w:type="dxa" w:w="2154"/>
            <w:shd w:val="clear" w:color="auto" w:fill="5D008F"/>
          </w:tcPr>
          <w:p>
            <w:pPr>
              <w:spacing w:before="60" w:after="60"/>
            </w:pPr>
            <w:r/>
            <w:r>
              <w:rPr>
                <w:b/>
                <w:color w:val="FFFFFF"/>
              </w:rPr>
              <w:t>Learners' prior knowledge</w:t>
            </w:r>
          </w:p>
        </w:tc>
        <w:tc>
          <w:tcPr>
            <w:tcW w:type="dxa" w:w="2041"/>
            <w:shd w:val="clear" w:color="auto" w:fill="5D008F"/>
          </w:tcPr>
          <w:p>
            <w:pPr>
              <w:spacing w:before="60" w:after="60"/>
            </w:pPr>
            <w:r/>
            <w:r>
              <w:rPr>
                <w:b/>
                <w:color w:val="FFFFFF"/>
              </w:rPr>
              <w:t>Type of task</w:t>
            </w:r>
          </w:p>
        </w:tc>
        <w:tc>
          <w:tcPr>
            <w:tcW w:type="dxa" w:w="2041"/>
            <w:shd w:val="clear" w:color="auto" w:fill="5D008F"/>
          </w:tcPr>
          <w:p>
            <w:pPr>
              <w:spacing w:before="60" w:after="60"/>
            </w:pPr>
            <w:r/>
            <w:r>
              <w:rPr>
                <w:b/>
                <w:color w:val="FFFFFF"/>
              </w:rPr>
              <w:t>Approach</w:t>
            </w:r>
          </w:p>
        </w:tc>
      </w:tr>
      <w:tr>
        <w:trPr>
          <w:cantSplit w:val="true"/>
        </w:trPr>
        <w:tc>
          <w:tcPr>
            <w:tcW w:type="dxa" w:w="3402"/>
          </w:tcPr>
          <w:p>
            <w:pPr>
              <w:spacing w:before="60" w:after="60"/>
            </w:pPr>
            <w:r>
              <w:rPr>
                <w:b/>
              </w:rPr>
              <w:t>Enter a refund request in the CRM in the required field order</w:t>
            </w:r>
          </w:p>
        </w:tc>
        <w:tc>
          <w:tcPr>
            <w:tcW w:type="dxa" w:w="2154"/>
          </w:tcPr>
          <w:p>
            <w:pPr>
              <w:spacing w:before="60" w:after="60"/>
            </w:pPr>
            <w:r>
              <w:t>None of this CRM</w:t>
            </w:r>
          </w:p>
        </w:tc>
        <w:tc>
          <w:tcPr>
            <w:tcW w:type="dxa" w:w="2041"/>
          </w:tcPr>
          <w:p>
            <w:pPr>
              <w:spacing w:before="60" w:after="60"/>
            </w:pPr>
            <w:r>
              <w:t>Fixed routine</w:t>
            </w:r>
          </w:p>
        </w:tc>
        <w:tc>
          <w:tcPr>
            <w:tcW w:type="dxa" w:w="2041"/>
          </w:tcPr>
          <w:p>
            <w:pPr>
              <w:spacing w:before="60" w:after="60"/>
            </w:pPr>
            <w:r>
              <w:t>Behaviorist drill</w:t>
            </w:r>
          </w:p>
        </w:tc>
      </w:tr>
      <w:tr>
        <w:trPr>
          <w:cantSplit w:val="true"/>
        </w:trPr>
        <w:tc>
          <w:tcPr>
            <w:tcW w:type="dxa" w:w="3402"/>
            <w:shd w:val="clear" w:color="auto" w:fill="F7F0FB"/>
          </w:tcPr>
          <w:p>
            <w:pPr>
              <w:spacing w:before="60" w:after="60"/>
            </w:pPr>
            <w:r>
              <w:rPr>
                <w:b/>
              </w:rPr>
              <w:t>Decide whether a standard refund applies, and name the rule</w:t>
            </w:r>
          </w:p>
        </w:tc>
        <w:tc>
          <w:tcPr>
            <w:tcW w:type="dxa" w:w="2154"/>
            <w:shd w:val="clear" w:color="auto" w:fill="F7F0FB"/>
          </w:tcPr>
          <w:p>
            <w:pPr>
              <w:spacing w:before="60" w:after="60"/>
            </w:pPr>
            <w:r>
              <w:t>None of this policy</w:t>
            </w:r>
          </w:p>
        </w:tc>
        <w:tc>
          <w:tcPr>
            <w:tcW w:type="dxa" w:w="2041"/>
            <w:shd w:val="clear" w:color="auto" w:fill="F7F0FB"/>
          </w:tcPr>
          <w:p>
            <w:pPr>
              <w:spacing w:before="60" w:after="60"/>
            </w:pPr>
            <w:r>
              <w:t>Rule applied to new cases</w:t>
            </w:r>
          </w:p>
        </w:tc>
        <w:tc>
          <w:tcPr>
            <w:tcW w:type="dxa" w:w="2041"/>
            <w:shd w:val="clear" w:color="auto" w:fill="F7F0FB"/>
          </w:tcPr>
          <w:p>
            <w:pPr>
              <w:spacing w:before="60" w:after="60"/>
            </w:pPr>
            <w:r>
              <w:t>Cognitivist explanation</w:t>
            </w:r>
          </w:p>
        </w:tc>
      </w:tr>
      <w:tr>
        <w:trPr>
          <w:cantSplit w:val="true"/>
        </w:trPr>
        <w:tc>
          <w:tcPr>
            <w:tcW w:type="dxa" w:w="3402"/>
          </w:tcPr>
          <w:p>
            <w:pPr>
              <w:spacing w:before="60" w:after="60"/>
            </w:pPr>
            <w:r>
              <w:rPr>
                <w:b/>
              </w:rPr>
              <w:t>Resolve a customer billed twice after moving house</w:t>
            </w:r>
          </w:p>
        </w:tc>
        <w:tc>
          <w:tcPr>
            <w:tcW w:type="dxa" w:w="2154"/>
          </w:tcPr>
          <w:p>
            <w:pPr>
              <w:spacing w:before="60" w:after="60"/>
            </w:pPr>
            <w:r>
              <w:t>The policy and the CRM, from the first two objectives</w:t>
            </w:r>
          </w:p>
        </w:tc>
        <w:tc>
          <w:tcPr>
            <w:tcW w:type="dxa" w:w="2041"/>
          </w:tcPr>
          <w:p>
            <w:pPr>
              <w:spacing w:before="60" w:after="60"/>
            </w:pPr>
            <w:r>
              <w:t>Problem with no single answer</w:t>
            </w:r>
          </w:p>
        </w:tc>
        <w:tc>
          <w:tcPr>
            <w:tcW w:type="dxa" w:w="2041"/>
          </w:tcPr>
          <w:p>
            <w:pPr>
              <w:spacing w:before="60" w:after="60"/>
            </w:pPr>
            <w:r>
              <w:t>Constructivist case, with guidance</w:t>
            </w:r>
          </w:p>
        </w:tc>
      </w:tr>
    </w:tbl>
    <w:p>
      <w:pPr>
        <w:keepNext/>
        <w:spacing w:before="240" w:after="80"/>
      </w:pPr>
      <w:r>
        <w:rPr>
          <w:b/>
          <w:color w:val="5D008F"/>
          <w:sz w:val="28"/>
        </w:rPr>
        <w:t>2. Worked example: activity and assessment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Objective</w:t>
            </w:r>
          </w:p>
        </w:tc>
        <w:tc>
          <w:tcPr>
            <w:tcW w:type="dxa" w:w="3628"/>
            <w:shd w:val="clear" w:color="auto" w:fill="5D008F"/>
          </w:tcPr>
          <w:p>
            <w:pPr>
              <w:spacing w:before="60" w:after="60"/>
            </w:pPr>
            <w:r/>
            <w:r>
              <w:rPr>
                <w:b/>
                <w:color w:val="FFFFFF"/>
              </w:rPr>
              <w:t>Activity</w:t>
            </w:r>
          </w:p>
        </w:tc>
        <w:tc>
          <w:tcPr>
            <w:tcW w:type="dxa" w:w="3402"/>
            <w:shd w:val="clear" w:color="auto" w:fill="5D008F"/>
          </w:tcPr>
          <w:p>
            <w:pPr>
              <w:spacing w:before="60" w:after="60"/>
            </w:pPr>
            <w:r/>
            <w:r>
              <w:rPr>
                <w:b/>
                <w:color w:val="FFFFFF"/>
              </w:rPr>
              <w:t>Assessment</w:t>
            </w:r>
          </w:p>
        </w:tc>
      </w:tr>
      <w:tr>
        <w:trPr>
          <w:cantSplit w:val="true"/>
        </w:trPr>
        <w:tc>
          <w:tcPr>
            <w:tcW w:type="dxa" w:w="2608"/>
          </w:tcPr>
          <w:p>
            <w:pPr>
              <w:spacing w:before="60" w:after="60"/>
            </w:pPr>
            <w:r>
              <w:rPr>
                <w:b/>
              </w:rPr>
              <w:t>Enter the refund in the CRM</w:t>
            </w:r>
          </w:p>
        </w:tc>
        <w:tc>
          <w:tcPr>
            <w:tcW w:type="dxa" w:w="3628"/>
          </w:tcPr>
          <w:p>
            <w:pPr>
              <w:spacing w:before="60" w:after="60"/>
            </w:pPr>
            <w:r>
              <w:t>Prompted, then unprompted practice rounds with immediate right or wrong feedback; prompts removed as accuracy rises</w:t>
            </w:r>
          </w:p>
        </w:tc>
        <w:tc>
          <w:tcPr>
            <w:tcW w:type="dxa" w:w="3402"/>
          </w:tcPr>
          <w:p>
            <w:pPr>
              <w:spacing w:before="60" w:after="60"/>
            </w:pPr>
            <w:r>
              <w:t>Three practice rounds in a row without errors</w:t>
            </w:r>
          </w:p>
        </w:tc>
      </w:tr>
      <w:tr>
        <w:trPr>
          <w:cantSplit w:val="true"/>
        </w:trPr>
        <w:tc>
          <w:tcPr>
            <w:tcW w:type="dxa" w:w="2608"/>
            <w:shd w:val="clear" w:color="auto" w:fill="F7F0FB"/>
          </w:tcPr>
          <w:p>
            <w:pPr>
              <w:spacing w:before="60" w:after="60"/>
            </w:pPr>
            <w:r>
              <w:rPr>
                <w:b/>
              </w:rPr>
              <w:t>Decide a standard refund</w:t>
            </w:r>
          </w:p>
        </w:tc>
        <w:tc>
          <w:tcPr>
            <w:tcW w:type="dxa" w:w="3628"/>
            <w:shd w:val="clear" w:color="auto" w:fill="F7F0FB"/>
          </w:tcPr>
          <w:p>
            <w:pPr>
              <w:spacing w:before="60" w:after="60"/>
            </w:pPr>
            <w:r>
              <w:t>The policy in short chunks, a worked example of one decision, and a one-page rule summary</w:t>
            </w:r>
          </w:p>
        </w:tc>
        <w:tc>
          <w:tcPr>
            <w:tcW w:type="dxa" w:w="3402"/>
            <w:shd w:val="clear" w:color="auto" w:fill="F7F0FB"/>
          </w:tcPr>
          <w:p>
            <w:pPr>
              <w:spacing w:before="60" w:after="60"/>
            </w:pPr>
            <w:r>
              <w:t>New standard cases, where the agent decides and names the rule, marked against the policy</w:t>
            </w:r>
          </w:p>
        </w:tc>
      </w:tr>
      <w:tr>
        <w:trPr>
          <w:cantSplit w:val="true"/>
        </w:trPr>
        <w:tc>
          <w:tcPr>
            <w:tcW w:type="dxa" w:w="2608"/>
          </w:tcPr>
          <w:p>
            <w:pPr>
              <w:spacing w:before="60" w:after="60"/>
            </w:pPr>
            <w:r>
              <w:rPr>
                <w:b/>
              </w:rPr>
              <w:t>Resolve the double-billing case</w:t>
            </w:r>
          </w:p>
        </w:tc>
        <w:tc>
          <w:tcPr>
            <w:tcW w:type="dxa" w:w="3628"/>
          </w:tcPr>
          <w:p>
            <w:pPr>
              <w:spacing w:before="60" w:after="60"/>
            </w:pPr>
            <w:r>
              <w:t>The open case with the account history, both bills and the move dates, then comparing the decision with a colleague's and reflecting on the differences</w:t>
            </w:r>
          </w:p>
        </w:tc>
        <w:tc>
          <w:tcPr>
            <w:tcW w:type="dxa" w:w="3402"/>
          </w:tcPr>
          <w:p>
            <w:pPr>
              <w:spacing w:before="60" w:after="60"/>
            </w:pPr>
            <w:r>
              <w:t>A new unusual case, judged by a team leader against set criteria: account history checked, policy rule cited, a clear next step for the customer</w:t>
            </w:r>
          </w:p>
        </w:tc>
      </w:tr>
    </w:tbl>
    <w:p>
      <w:pPr>
        <w:keepNext/>
        <w:pageBreakBefore/>
        <w:spacing w:before="240" w:after="80"/>
      </w:pPr>
      <w:r>
        <w:rPr>
          <w:b/>
          <w:color w:val="5D008F"/>
          <w:sz w:val="28"/>
        </w:rPr>
        <w:t>3. Your course: objectives and approach</w:t>
      </w:r>
    </w:p>
    <w:p>
      <w:r>
        <w:t>Course name: ______________________________   Learners: ______________________________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3402"/>
            <w:shd w:val="clear" w:color="auto" w:fill="5D008F"/>
          </w:tcPr>
          <w:p>
            <w:pPr>
              <w:spacing w:before="60" w:after="60"/>
            </w:pPr>
            <w:r/>
            <w:r>
              <w:rPr>
                <w:b/>
                <w:color w:val="FFFFFF"/>
              </w:rPr>
              <w:t>Objective</w:t>
            </w:r>
          </w:p>
        </w:tc>
        <w:tc>
          <w:tcPr>
            <w:tcW w:type="dxa" w:w="2154"/>
            <w:shd w:val="clear" w:color="auto" w:fill="5D008F"/>
          </w:tcPr>
          <w:p>
            <w:pPr>
              <w:spacing w:before="60" w:after="60"/>
            </w:pPr>
            <w:r/>
            <w:r>
              <w:rPr>
                <w:b/>
                <w:color w:val="FFFFFF"/>
              </w:rPr>
              <w:t>Learners' prior knowledge</w:t>
            </w:r>
          </w:p>
        </w:tc>
        <w:tc>
          <w:tcPr>
            <w:tcW w:type="dxa" w:w="2041"/>
            <w:shd w:val="clear" w:color="auto" w:fill="5D008F"/>
          </w:tcPr>
          <w:p>
            <w:pPr>
              <w:spacing w:before="60" w:after="60"/>
            </w:pPr>
            <w:r/>
            <w:r>
              <w:rPr>
                <w:b/>
                <w:color w:val="FFFFFF"/>
              </w:rPr>
              <w:t>Type of task</w:t>
            </w:r>
          </w:p>
        </w:tc>
        <w:tc>
          <w:tcPr>
            <w:tcW w:type="dxa" w:w="2041"/>
            <w:shd w:val="clear" w:color="auto" w:fill="5D008F"/>
          </w:tcPr>
          <w:p>
            <w:pPr>
              <w:spacing w:before="60" w:after="60"/>
            </w:pPr>
            <w:r/>
            <w:r>
              <w:rPr>
                <w:b/>
                <w:color w:val="FFFFFF"/>
              </w:rPr>
              <w:t>Approach</w:t>
            </w:r>
          </w:p>
        </w:tc>
      </w:tr>
      <w:tr>
        <w:trPr>
          <w:cantSplit w:val="true"/>
          <w:trHeight w:val="1474"/>
        </w:trPr>
        <w:tc>
          <w:tcPr>
            <w:tcW w:type="dxa" w:w="3402"/>
          </w:tcPr>
          <w:p>
            <w:pPr>
              <w:spacing w:before="60" w:after="60"/>
            </w:pPr>
            <w:r>
              <w:rPr>
                <w:b/>
              </w:rPr>
            </w:r>
          </w:p>
        </w:tc>
        <w:tc>
          <w:tcPr>
            <w:tcW w:type="dxa" w:w="2154"/>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1474"/>
        </w:trPr>
        <w:tc>
          <w:tcPr>
            <w:tcW w:type="dxa" w:w="3402"/>
            <w:shd w:val="clear" w:color="auto" w:fill="F7F0FB"/>
          </w:tcPr>
          <w:p>
            <w:pPr>
              <w:spacing w:before="60" w:after="60"/>
            </w:pPr>
            <w:r>
              <w:rPr>
                <w:b/>
              </w:rPr>
            </w:r>
          </w:p>
        </w:tc>
        <w:tc>
          <w:tcPr>
            <w:tcW w:type="dxa" w:w="2154"/>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r>
        <w:trPr>
          <w:cantSplit w:val="true"/>
          <w:trHeight w:val="1474"/>
        </w:trPr>
        <w:tc>
          <w:tcPr>
            <w:tcW w:type="dxa" w:w="3402"/>
          </w:tcPr>
          <w:p>
            <w:pPr>
              <w:spacing w:before="60" w:after="60"/>
            </w:pPr>
            <w:r>
              <w:rPr>
                <w:b/>
              </w:rPr>
            </w:r>
          </w:p>
        </w:tc>
        <w:tc>
          <w:tcPr>
            <w:tcW w:type="dxa" w:w="2154"/>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1474"/>
        </w:trPr>
        <w:tc>
          <w:tcPr>
            <w:tcW w:type="dxa" w:w="3402"/>
            <w:shd w:val="clear" w:color="auto" w:fill="F7F0FB"/>
          </w:tcPr>
          <w:p>
            <w:pPr>
              <w:spacing w:before="60" w:after="60"/>
            </w:pPr>
            <w:r>
              <w:rPr>
                <w:b/>
              </w:rPr>
            </w:r>
          </w:p>
        </w:tc>
        <w:tc>
          <w:tcPr>
            <w:tcW w:type="dxa" w:w="2154"/>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r>
        <w:trPr>
          <w:cantSplit w:val="true"/>
          <w:trHeight w:val="1474"/>
        </w:trPr>
        <w:tc>
          <w:tcPr>
            <w:tcW w:type="dxa" w:w="3402"/>
          </w:tcPr>
          <w:p>
            <w:pPr>
              <w:spacing w:before="60" w:after="60"/>
            </w:pPr>
            <w:r>
              <w:rPr>
                <w:b/>
              </w:rPr>
            </w:r>
          </w:p>
        </w:tc>
        <w:tc>
          <w:tcPr>
            <w:tcW w:type="dxa" w:w="2154"/>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1474"/>
        </w:trPr>
        <w:tc>
          <w:tcPr>
            <w:tcW w:type="dxa" w:w="3402"/>
            <w:shd w:val="clear" w:color="auto" w:fill="F7F0FB"/>
          </w:tcPr>
          <w:p>
            <w:pPr>
              <w:spacing w:before="60" w:after="60"/>
            </w:pPr>
            <w:r>
              <w:rPr>
                <w:b/>
              </w:rPr>
            </w:r>
          </w:p>
        </w:tc>
        <w:tc>
          <w:tcPr>
            <w:tcW w:type="dxa" w:w="2154"/>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bl>
    <w:p>
      <w:pPr>
        <w:keepNext/>
        <w:pageBreakBefore/>
        <w:spacing w:before="240" w:after="80"/>
      </w:pPr>
      <w:r>
        <w:rPr>
          <w:b/>
          <w:color w:val="5D008F"/>
          <w:sz w:val="28"/>
        </w:rPr>
        <w:t>4. Your course: activity and assessment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Objective</w:t>
            </w:r>
          </w:p>
        </w:tc>
        <w:tc>
          <w:tcPr>
            <w:tcW w:type="dxa" w:w="3628"/>
            <w:shd w:val="clear" w:color="auto" w:fill="5D008F"/>
          </w:tcPr>
          <w:p>
            <w:pPr>
              <w:spacing w:before="60" w:after="60"/>
            </w:pPr>
            <w:r/>
            <w:r>
              <w:rPr>
                <w:b/>
                <w:color w:val="FFFFFF"/>
              </w:rPr>
              <w:t>Activity</w:t>
            </w:r>
          </w:p>
        </w:tc>
        <w:tc>
          <w:tcPr>
            <w:tcW w:type="dxa" w:w="3402"/>
            <w:shd w:val="clear" w:color="auto" w:fill="5D008F"/>
          </w:tcPr>
          <w:p>
            <w:pPr>
              <w:spacing w:before="60" w:after="60"/>
            </w:pPr>
            <w:r/>
            <w:r>
              <w:rPr>
                <w:b/>
                <w:color w:val="FFFFFF"/>
              </w:rPr>
              <w:t>Assessment</w:t>
            </w:r>
          </w:p>
        </w:tc>
      </w:tr>
      <w:tr>
        <w:trPr>
          <w:cantSplit w:val="true"/>
          <w:trHeight w:val="1644"/>
        </w:trPr>
        <w:tc>
          <w:tcPr>
            <w:tcW w:type="dxa" w:w="2608"/>
          </w:tcPr>
          <w:p>
            <w:pPr>
              <w:spacing w:before="60" w:after="60"/>
            </w:pPr>
            <w:r>
              <w:rPr>
                <w:b/>
              </w:rPr>
            </w:r>
          </w:p>
        </w:tc>
        <w:tc>
          <w:tcPr>
            <w:tcW w:type="dxa" w:w="3628"/>
          </w:tcPr>
          <w:p>
            <w:pPr>
              <w:spacing w:before="60" w:after="60"/>
            </w:pPr>
            <w:r/>
          </w:p>
        </w:tc>
        <w:tc>
          <w:tcPr>
            <w:tcW w:type="dxa" w:w="3402"/>
          </w:tcPr>
          <w:p>
            <w:pPr>
              <w:spacing w:before="60" w:after="60"/>
            </w:pPr>
            <w:r/>
          </w:p>
        </w:tc>
      </w:tr>
      <w:tr>
        <w:trPr>
          <w:cantSplit w:val="true"/>
          <w:trHeight w:val="1644"/>
        </w:trPr>
        <w:tc>
          <w:tcPr>
            <w:tcW w:type="dxa" w:w="2608"/>
            <w:shd w:val="clear" w:color="auto" w:fill="F7F0FB"/>
          </w:tcPr>
          <w:p>
            <w:pPr>
              <w:spacing w:before="60" w:after="60"/>
            </w:pPr>
            <w:r>
              <w:rPr>
                <w:b/>
              </w:rPr>
            </w:r>
          </w:p>
        </w:tc>
        <w:tc>
          <w:tcPr>
            <w:tcW w:type="dxa" w:w="3628"/>
            <w:shd w:val="clear" w:color="auto" w:fill="F7F0FB"/>
          </w:tcPr>
          <w:p>
            <w:pPr>
              <w:spacing w:before="60" w:after="60"/>
            </w:pPr>
            <w:r/>
          </w:p>
        </w:tc>
        <w:tc>
          <w:tcPr>
            <w:tcW w:type="dxa" w:w="3402"/>
            <w:shd w:val="clear" w:color="auto" w:fill="F7F0FB"/>
          </w:tcPr>
          <w:p>
            <w:pPr>
              <w:spacing w:before="60" w:after="60"/>
            </w:pPr>
            <w:r/>
          </w:p>
        </w:tc>
      </w:tr>
      <w:tr>
        <w:trPr>
          <w:cantSplit w:val="true"/>
          <w:trHeight w:val="1644"/>
        </w:trPr>
        <w:tc>
          <w:tcPr>
            <w:tcW w:type="dxa" w:w="2608"/>
          </w:tcPr>
          <w:p>
            <w:pPr>
              <w:spacing w:before="60" w:after="60"/>
            </w:pPr>
            <w:r>
              <w:rPr>
                <w:b/>
              </w:rPr>
            </w:r>
          </w:p>
        </w:tc>
        <w:tc>
          <w:tcPr>
            <w:tcW w:type="dxa" w:w="3628"/>
          </w:tcPr>
          <w:p>
            <w:pPr>
              <w:spacing w:before="60" w:after="60"/>
            </w:pPr>
            <w:r/>
          </w:p>
        </w:tc>
        <w:tc>
          <w:tcPr>
            <w:tcW w:type="dxa" w:w="3402"/>
          </w:tcPr>
          <w:p>
            <w:pPr>
              <w:spacing w:before="60" w:after="60"/>
            </w:pPr>
            <w:r/>
          </w:p>
        </w:tc>
      </w:tr>
      <w:tr>
        <w:trPr>
          <w:cantSplit w:val="true"/>
          <w:trHeight w:val="1644"/>
        </w:trPr>
        <w:tc>
          <w:tcPr>
            <w:tcW w:type="dxa" w:w="2608"/>
            <w:shd w:val="clear" w:color="auto" w:fill="F7F0FB"/>
          </w:tcPr>
          <w:p>
            <w:pPr>
              <w:spacing w:before="60" w:after="60"/>
            </w:pPr>
            <w:r>
              <w:rPr>
                <w:b/>
              </w:rPr>
            </w:r>
          </w:p>
        </w:tc>
        <w:tc>
          <w:tcPr>
            <w:tcW w:type="dxa" w:w="3628"/>
            <w:shd w:val="clear" w:color="auto" w:fill="F7F0FB"/>
          </w:tcPr>
          <w:p>
            <w:pPr>
              <w:spacing w:before="60" w:after="60"/>
            </w:pPr>
            <w:r/>
          </w:p>
        </w:tc>
        <w:tc>
          <w:tcPr>
            <w:tcW w:type="dxa" w:w="3402"/>
            <w:shd w:val="clear" w:color="auto" w:fill="F7F0FB"/>
          </w:tcPr>
          <w:p>
            <w:pPr>
              <w:spacing w:before="60" w:after="60"/>
            </w:pPr>
            <w:r/>
          </w:p>
        </w:tc>
      </w:tr>
      <w:tr>
        <w:trPr>
          <w:cantSplit w:val="true"/>
          <w:trHeight w:val="1644"/>
        </w:trPr>
        <w:tc>
          <w:tcPr>
            <w:tcW w:type="dxa" w:w="2608"/>
          </w:tcPr>
          <w:p>
            <w:pPr>
              <w:spacing w:before="60" w:after="60"/>
            </w:pPr>
            <w:r>
              <w:rPr>
                <w:b/>
              </w:rPr>
            </w:r>
          </w:p>
        </w:tc>
        <w:tc>
          <w:tcPr>
            <w:tcW w:type="dxa" w:w="3628"/>
          </w:tcPr>
          <w:p>
            <w:pPr>
              <w:spacing w:before="60" w:after="60"/>
            </w:pPr>
            <w:r/>
          </w:p>
        </w:tc>
        <w:tc>
          <w:tcPr>
            <w:tcW w:type="dxa" w:w="3402"/>
          </w:tcPr>
          <w:p>
            <w:pPr>
              <w:spacing w:before="60" w:after="60"/>
            </w:pPr>
            <w:r/>
          </w:p>
        </w:tc>
      </w:tr>
      <w:tr>
        <w:trPr>
          <w:cantSplit w:val="true"/>
          <w:trHeight w:val="1644"/>
        </w:trPr>
        <w:tc>
          <w:tcPr>
            <w:tcW w:type="dxa" w:w="2608"/>
            <w:shd w:val="clear" w:color="auto" w:fill="F7F0FB"/>
          </w:tcPr>
          <w:p>
            <w:pPr>
              <w:spacing w:before="60" w:after="60"/>
            </w:pPr>
            <w:r>
              <w:rPr>
                <w:b/>
              </w:rPr>
            </w:r>
          </w:p>
        </w:tc>
        <w:tc>
          <w:tcPr>
            <w:tcW w:type="dxa" w:w="3628"/>
            <w:shd w:val="clear" w:color="auto" w:fill="F7F0FB"/>
          </w:tcPr>
          <w:p>
            <w:pPr>
              <w:spacing w:before="60" w:after="60"/>
            </w:pPr>
            <w:r/>
          </w:p>
        </w:tc>
        <w:tc>
          <w:tcPr>
            <w:tcW w:type="dxa" w:w="3402"/>
            <w:shd w:val="clear" w:color="auto" w:fill="F7F0FB"/>
          </w:tcPr>
          <w:p>
            <w:pPr>
              <w:spacing w:before="60" w:after="60"/>
            </w:pPr>
            <w:r/>
          </w:p>
        </w:tc>
      </w:tr>
    </w:tbl>
    <w:p>
      <w:pPr>
        <w:keepNext/>
        <w:pageBreakBefore/>
        <w:spacing w:before="240" w:after="80"/>
      </w:pPr>
      <w:r>
        <w:rPr>
          <w:b/>
          <w:color w:val="5D008F"/>
          <w:sz w:val="28"/>
        </w:rPr>
        <w:t>5. Check the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Check</w:t>
            </w:r>
          </w:p>
        </w:tc>
        <w:tc>
          <w:tcPr>
            <w:tcW w:type="dxa" w:w="3685"/>
            <w:shd w:val="clear" w:color="auto" w:fill="5D008F"/>
          </w:tcPr>
          <w:p>
            <w:pPr>
              <w:spacing w:before="60" w:after="60"/>
            </w:pPr>
            <w:r/>
            <w:r>
              <w:rPr>
                <w:b/>
                <w:color w:val="FFFFFF"/>
              </w:rPr>
              <w:t>Yes or notes</w:t>
            </w:r>
          </w:p>
        </w:tc>
      </w:tr>
      <w:tr>
        <w:trPr>
          <w:cantSplit w:val="true"/>
          <w:trHeight w:val="1077"/>
        </w:trPr>
        <w:tc>
          <w:tcPr>
            <w:tcW w:type="dxa" w:w="5953"/>
          </w:tcPr>
          <w:p>
            <w:pPr>
              <w:spacing w:before="60" w:after="60"/>
            </w:pPr>
            <w:r>
              <w:t>Did you find out what learners know about each task, rather than assume it from their role?</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Does every fixed routine get repeated practice with immediate feedback, and a refresher later?</w:t>
            </w:r>
          </w:p>
        </w:tc>
        <w:tc>
          <w:tcPr>
            <w:tcW w:type="dxa" w:w="3685"/>
            <w:shd w:val="clear" w:color="auto" w:fill="F7F0FB"/>
          </w:tcPr>
          <w:p>
            <w:pPr>
              <w:spacing w:before="60" w:after="60"/>
            </w:pPr>
            <w:r/>
          </w:p>
        </w:tc>
      </w:tr>
      <w:tr>
        <w:trPr>
          <w:cantSplit w:val="true"/>
          <w:trHeight w:val="1077"/>
        </w:trPr>
        <w:tc>
          <w:tcPr>
            <w:tcW w:type="dxa" w:w="5953"/>
          </w:tcPr>
          <w:p>
            <w:pPr>
              <w:spacing w:before="60" w:after="60"/>
            </w:pPr>
            <w:r>
              <w:t>Does every rule get an explanation and a worked example before people apply it alone?</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Does every open problem come with guidance, such as coaching, a model answer or a comparison with a colleague?</w:t>
            </w:r>
          </w:p>
        </w:tc>
        <w:tc>
          <w:tcPr>
            <w:tcW w:type="dxa" w:w="3685"/>
            <w:shd w:val="clear" w:color="auto" w:fill="F7F0FB"/>
          </w:tcPr>
          <w:p>
            <w:pPr>
              <w:spacing w:before="60" w:after="60"/>
            </w:pPr>
            <w:r/>
          </w:p>
        </w:tc>
      </w:tr>
      <w:tr>
        <w:trPr>
          <w:cantSplit w:val="true"/>
          <w:trHeight w:val="1077"/>
        </w:trPr>
        <w:tc>
          <w:tcPr>
            <w:tcW w:type="dxa" w:w="5953"/>
          </w:tcPr>
          <w:p>
            <w:pPr>
              <w:spacing w:before="60" w:after="60"/>
            </w:pPr>
            <w:r>
              <w:t>Do learners have the information each decision needs, such as the policy and the account history?</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Does each assessment ask for the same thing as its approach?</w:t>
            </w:r>
          </w:p>
        </w:tc>
        <w:tc>
          <w:tcPr>
            <w:tcW w:type="dxa" w:w="3685"/>
            <w:shd w:val="clear" w:color="auto" w:fill="F7F0FB"/>
          </w:tcPr>
          <w:p>
            <w:pPr>
              <w:spacing w:before="60" w:after="60"/>
            </w:pPr>
            <w:r/>
          </w:p>
        </w:tc>
      </w:tr>
      <w:tr>
        <w:trPr>
          <w:cantSplit w:val="true"/>
          <w:trHeight w:val="1077"/>
        </w:trPr>
        <w:tc>
          <w:tcPr>
            <w:tcW w:type="dxa" w:w="5953"/>
          </w:tcPr>
          <w:p>
            <w:pPr>
              <w:spacing w:before="60" w:after="60"/>
            </w:pPr>
            <w:r>
              <w:t>Does guidance fade as learners gain experience?</w:t>
            </w:r>
          </w:p>
        </w:tc>
        <w:tc>
          <w:tcPr>
            <w:tcW w:type="dxa" w:w="3685"/>
          </w:tcPr>
          <w:p>
            <w:pPr>
              <w:spacing w:before="60" w:after="60"/>
            </w:pPr>
            <w:r/>
          </w:p>
        </w:tc>
      </w:tr>
      <w:tr>
        <w:trPr>
          <w:cantSplit w:val="true"/>
          <w:trHeight w:val="1077"/>
        </w:trPr>
        <w:tc>
          <w:tcPr>
            <w:tcW w:type="dxa" w:w="5953"/>
            <w:shd w:val="clear" w:color="auto" w:fill="F7F0FB"/>
          </w:tcPr>
          <w:p>
            <w:pPr>
              <w:spacing w:before="60" w:after="60"/>
            </w:pPr>
            <w:r>
              <w:t>How will you check, after a pilot, whether people do the task better on the job?</w:t>
            </w:r>
          </w:p>
        </w:tc>
        <w:tc>
          <w:tcPr>
            <w:tcW w:type="dxa" w:w="3685"/>
            <w:shd w:val="clear" w:color="auto" w:fill="F7F0FB"/>
          </w:tcPr>
          <w:p>
            <w:pPr>
              <w:spacing w:before="60" w:after="60"/>
            </w:pPr>
            <w:r/>
          </w:p>
        </w:tc>
      </w:tr>
    </w:tbl>
    <w:p>
      <w:pPr>
        <w:spacing w:before="160"/>
      </w:pPr>
      <w:r>
        <w:rPr>
          <w:i/>
          <w:color w:val="5A5766"/>
        </w:rPr>
        <w:t>This planner adapts Ertmer and Newby's comparison (Performance Improvement Quarterly, 1993; reprinted with an update in 2013). It is a planning aid and gives no score. The refund course and the field names are Coursebox's own.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