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Fink's Course Planning Template</w:t>
      </w:r>
    </w:p>
    <w:p>
      <w:r>
        <w:rPr>
          <w:color w:val="5A5766"/>
          <w:sz w:val="22"/>
        </w:rPr>
        <w:t>Plan a course for significant learning with L. Dee Fink's taxonomy and Integrated Course Design. Work through the four steps in order.</w:t>
      </w:r>
    </w:p>
    <w:p>
      <w:r>
        <w:rPr>
          <w:i/>
          <w:color w:val="5A5766"/>
          <w:sz w:val="18"/>
        </w:rPr>
        <w:t>From the Coursebox blog: coursebox.ai/blog/finks-taxonomy-of-significant-learning</w:t>
      </w:r>
    </w:p>
    <w:p>
      <w:pPr>
        <w:keepNext/>
        <w:spacing w:before="240" w:after="80"/>
      </w:pPr>
      <w:r>
        <w:rPr>
          <w:b/>
          <w:color w:val="5D008F"/>
          <w:sz w:val="28"/>
        </w:rPr>
        <w:t>Step 1. Situational factors</w:t>
      </w:r>
    </w:p>
    <w:p>
      <w:r>
        <w:t>Answer these before writing any goals. They decide what is realistic for this course.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535"/>
            <w:shd w:val="clear" w:color="auto" w:fill="5D008F"/>
          </w:tcPr>
          <w:p>
            <w:pPr>
              <w:spacing w:before="60" w:after="60"/>
            </w:pPr>
            <w:r/>
            <w:r>
              <w:rPr>
                <w:b/>
                <w:color w:val="FFFFFF"/>
              </w:rPr>
              <w:t>Question</w:t>
            </w:r>
          </w:p>
        </w:tc>
        <w:tc>
          <w:tcPr>
            <w:tcW w:type="dxa" w:w="5102"/>
            <w:shd w:val="clear" w:color="auto" w:fill="5D008F"/>
          </w:tcPr>
          <w:p>
            <w:pPr>
              <w:spacing w:before="60" w:after="60"/>
            </w:pPr>
            <w:r/>
            <w:r>
              <w:rPr>
                <w:b/>
                <w:color w:val="FFFFFF"/>
              </w:rPr>
              <w:t>Your answer</w:t>
            </w:r>
          </w:p>
        </w:tc>
      </w:tr>
      <w:tr>
        <w:trPr>
          <w:cantSplit w:val="true"/>
          <w:trHeight w:val="1361"/>
        </w:trPr>
        <w:tc>
          <w:tcPr>
            <w:tcW w:type="dxa" w:w="4535"/>
          </w:tcPr>
          <w:p>
            <w:pPr>
              <w:spacing w:before="60" w:after="60"/>
            </w:pPr>
            <w:r>
              <w:t>Who are the learners? Role, experience and what they already know.</w:t>
            </w:r>
          </w:p>
        </w:tc>
        <w:tc>
          <w:tcPr>
            <w:tcW w:type="dxa" w:w="5102"/>
          </w:tcPr>
          <w:p>
            <w:pPr>
              <w:spacing w:before="60" w:after="60"/>
            </w:pPr>
            <w:r/>
          </w:p>
        </w:tc>
      </w:tr>
      <w:tr>
        <w:trPr>
          <w:cantSplit w:val="true"/>
          <w:trHeight w:val="1361"/>
        </w:trPr>
        <w:tc>
          <w:tcPr>
            <w:tcW w:type="dxa" w:w="4535"/>
            <w:shd w:val="clear" w:color="auto" w:fill="F7F0FB"/>
          </w:tcPr>
          <w:p>
            <w:pPr>
              <w:spacing w:before="60" w:after="60"/>
            </w:pPr>
            <w:r>
              <w:t>How much time is there, and in what format? Hours, live or self-paced, remote or on site.</w:t>
            </w:r>
          </w:p>
        </w:tc>
        <w:tc>
          <w:tcPr>
            <w:tcW w:type="dxa" w:w="5102"/>
            <w:shd w:val="clear" w:color="auto" w:fill="F7F0FB"/>
          </w:tcPr>
          <w:p>
            <w:pPr>
              <w:spacing w:before="60" w:after="60"/>
            </w:pPr>
            <w:r/>
          </w:p>
        </w:tc>
      </w:tr>
      <w:tr>
        <w:trPr>
          <w:cantSplit w:val="true"/>
          <w:trHeight w:val="1361"/>
        </w:trPr>
        <w:tc>
          <w:tcPr>
            <w:tcW w:type="dxa" w:w="4535"/>
          </w:tcPr>
          <w:p>
            <w:pPr>
              <w:spacing w:before="60" w:after="60"/>
            </w:pPr>
            <w:r>
              <w:t>What does the organisation expect the course to change?</w:t>
            </w:r>
          </w:p>
        </w:tc>
        <w:tc>
          <w:tcPr>
            <w:tcW w:type="dxa" w:w="5102"/>
          </w:tcPr>
          <w:p>
            <w:pPr>
              <w:spacing w:before="60" w:after="60"/>
            </w:pPr>
            <w:r/>
          </w:p>
        </w:tc>
      </w:tr>
      <w:tr>
        <w:trPr>
          <w:cantSplit w:val="true"/>
          <w:trHeight w:val="1361"/>
        </w:trPr>
        <w:tc>
          <w:tcPr>
            <w:tcW w:type="dxa" w:w="4535"/>
            <w:shd w:val="clear" w:color="auto" w:fill="F7F0FB"/>
          </w:tcPr>
          <w:p>
            <w:pPr>
              <w:spacing w:before="60" w:after="60"/>
            </w:pPr>
            <w:r>
              <w:t>What constraints apply? Compliance rules, systems, budget, shift patterns.</w:t>
            </w:r>
          </w:p>
        </w:tc>
        <w:tc>
          <w:tcPr>
            <w:tcW w:type="dxa" w:w="5102"/>
            <w:shd w:val="clear" w:color="auto" w:fill="F7F0FB"/>
          </w:tcPr>
          <w:p>
            <w:pPr>
              <w:spacing w:before="60" w:after="60"/>
            </w:pPr>
            <w:r/>
          </w:p>
        </w:tc>
      </w:tr>
      <w:tr>
        <w:trPr>
          <w:cantSplit w:val="true"/>
          <w:trHeight w:val="1361"/>
        </w:trPr>
        <w:tc>
          <w:tcPr>
            <w:tcW w:type="dxa" w:w="4535"/>
          </w:tcPr>
          <w:p>
            <w:pPr>
              <w:spacing w:before="60" w:after="60"/>
            </w:pPr>
            <w:r>
              <w:t>What evidence already exists that you can reuse? Quality scores, sales data, audits.</w:t>
            </w:r>
          </w:p>
        </w:tc>
        <w:tc>
          <w:tcPr>
            <w:tcW w:type="dxa" w:w="5102"/>
          </w:tcPr>
          <w:p>
            <w:pPr>
              <w:spacing w:before="60" w:after="60"/>
            </w:pPr>
            <w:r/>
          </w:p>
        </w:tc>
      </w:tr>
    </w:tbl>
    <w:p>
      <w:r>
        <w:br w:type="page"/>
      </w:r>
    </w:p>
    <w:p>
      <w:pPr>
        <w:keepNext/>
        <w:spacing w:before="240" w:after="80"/>
      </w:pPr>
      <w:r>
        <w:rPr>
          <w:b/>
          <w:color w:val="5D008F"/>
          <w:sz w:val="28"/>
        </w:rPr>
        <w:t>Step 2. Write a goal for each category that fits</w:t>
      </w:r>
    </w:p>
    <w:p>
      <w:r>
        <w:t>Fink's prompt: finish the sentence "A year (or more) after this course is over, I want and hope that learners will..." for each category. Leave a category out on purpose, never by accident. Questions adapted from Fink's Self-Directed Guide.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041"/>
            <w:shd w:val="clear" w:color="auto" w:fill="5D008F"/>
          </w:tcPr>
          <w:p>
            <w:pPr>
              <w:spacing w:before="60" w:after="60"/>
            </w:pPr>
            <w:r/>
            <w:r>
              <w:rPr>
                <w:b/>
                <w:color w:val="FFFFFF"/>
              </w:rPr>
              <w:t>Category</w:t>
            </w:r>
          </w:p>
        </w:tc>
        <w:tc>
          <w:tcPr>
            <w:tcW w:type="dxa" w:w="3628"/>
            <w:shd w:val="clear" w:color="auto" w:fill="5D008F"/>
          </w:tcPr>
          <w:p>
            <w:pPr>
              <w:spacing w:before="60" w:after="60"/>
            </w:pPr>
            <w:r/>
            <w:r>
              <w:rPr>
                <w:b/>
                <w:color w:val="FFFFFF"/>
              </w:rPr>
              <w:t>Ask yourself</w:t>
            </w:r>
          </w:p>
        </w:tc>
        <w:tc>
          <w:tcPr>
            <w:tcW w:type="dxa" w:w="3969"/>
            <w:shd w:val="clear" w:color="auto" w:fill="5D008F"/>
          </w:tcPr>
          <w:p>
            <w:pPr>
              <w:spacing w:before="60" w:after="60"/>
            </w:pPr>
            <w:r/>
            <w:r>
              <w:rPr>
                <w:b/>
                <w:color w:val="FFFFFF"/>
              </w:rPr>
              <w:t>Your goal</w:t>
            </w:r>
          </w:p>
        </w:tc>
      </w:tr>
      <w:tr>
        <w:trPr>
          <w:cantSplit w:val="true"/>
          <w:trHeight w:val="1644"/>
        </w:trPr>
        <w:tc>
          <w:tcPr>
            <w:tcW w:type="dxa" w:w="2041"/>
          </w:tcPr>
          <w:p>
            <w:pPr>
              <w:spacing w:before="60" w:after="60"/>
            </w:pPr>
            <w:r>
              <w:rPr>
                <w:b/>
              </w:rPr>
              <w:t>Foundational knowledge</w:t>
            </w:r>
          </w:p>
        </w:tc>
        <w:tc>
          <w:tcPr>
            <w:tcW w:type="dxa" w:w="3628"/>
          </w:tcPr>
          <w:p>
            <w:pPr>
              <w:spacing w:before="60" w:after="60"/>
            </w:pPr>
            <w:r>
              <w:t>What key information and ideas should learners understand and remember?</w:t>
            </w:r>
          </w:p>
        </w:tc>
        <w:tc>
          <w:tcPr>
            <w:tcW w:type="dxa" w:w="3969"/>
          </w:tcPr>
          <w:p>
            <w:pPr>
              <w:spacing w:before="60" w:after="60"/>
            </w:pPr>
            <w:r/>
          </w:p>
        </w:tc>
      </w:tr>
      <w:tr>
        <w:trPr>
          <w:cantSplit w:val="true"/>
          <w:trHeight w:val="1644"/>
        </w:trPr>
        <w:tc>
          <w:tcPr>
            <w:tcW w:type="dxa" w:w="2041"/>
            <w:shd w:val="clear" w:color="auto" w:fill="F7F0FB"/>
          </w:tcPr>
          <w:p>
            <w:pPr>
              <w:spacing w:before="60" w:after="60"/>
            </w:pPr>
            <w:r>
              <w:rPr>
                <w:b/>
              </w:rPr>
              <w:t>Application</w:t>
            </w:r>
          </w:p>
        </w:tc>
        <w:tc>
          <w:tcPr>
            <w:tcW w:type="dxa" w:w="3628"/>
            <w:shd w:val="clear" w:color="auto" w:fill="F7F0FB"/>
          </w:tcPr>
          <w:p>
            <w:pPr>
              <w:spacing w:before="60" w:after="60"/>
            </w:pPr>
            <w:r>
              <w:t>What should learners be able to do, decide or solve? What thinking and skills does that take?</w:t>
            </w:r>
          </w:p>
        </w:tc>
        <w:tc>
          <w:tcPr>
            <w:tcW w:type="dxa" w:w="3969"/>
            <w:shd w:val="clear" w:color="auto" w:fill="F7F0FB"/>
          </w:tcPr>
          <w:p>
            <w:pPr>
              <w:spacing w:before="60" w:after="60"/>
            </w:pPr>
            <w:r/>
          </w:p>
        </w:tc>
      </w:tr>
      <w:tr>
        <w:trPr>
          <w:cantSplit w:val="true"/>
          <w:trHeight w:val="1644"/>
        </w:trPr>
        <w:tc>
          <w:tcPr>
            <w:tcW w:type="dxa" w:w="2041"/>
          </w:tcPr>
          <w:p>
            <w:pPr>
              <w:spacing w:before="60" w:after="60"/>
            </w:pPr>
            <w:r>
              <w:rPr>
                <w:b/>
              </w:rPr>
              <w:t>Integration</w:t>
            </w:r>
          </w:p>
        </w:tc>
        <w:tc>
          <w:tcPr>
            <w:tcW w:type="dxa" w:w="3628"/>
          </w:tcPr>
          <w:p>
            <w:pPr>
              <w:spacing w:before="60" w:after="60"/>
            </w:pPr>
            <w:r>
              <w:t>What should learners connect: other topics, other teams, their own work?</w:t>
            </w:r>
          </w:p>
        </w:tc>
        <w:tc>
          <w:tcPr>
            <w:tcW w:type="dxa" w:w="3969"/>
          </w:tcPr>
          <w:p>
            <w:pPr>
              <w:spacing w:before="60" w:after="60"/>
            </w:pPr>
            <w:r/>
          </w:p>
        </w:tc>
      </w:tr>
      <w:tr>
        <w:trPr>
          <w:cantSplit w:val="true"/>
          <w:trHeight w:val="1644"/>
        </w:trPr>
        <w:tc>
          <w:tcPr>
            <w:tcW w:type="dxa" w:w="2041"/>
            <w:shd w:val="clear" w:color="auto" w:fill="F7F0FB"/>
          </w:tcPr>
          <w:p>
            <w:pPr>
              <w:spacing w:before="60" w:after="60"/>
            </w:pPr>
            <w:r>
              <w:rPr>
                <w:b/>
              </w:rPr>
              <w:t>Human dimension</w:t>
            </w:r>
          </w:p>
        </w:tc>
        <w:tc>
          <w:tcPr>
            <w:tcW w:type="dxa" w:w="3628"/>
            <w:shd w:val="clear" w:color="auto" w:fill="F7F0FB"/>
          </w:tcPr>
          <w:p>
            <w:pPr>
              <w:spacing w:before="60" w:after="60"/>
            </w:pPr>
            <w:r>
              <w:t>What should learners learn about themselves, and about understanding or working with others?</w:t>
            </w:r>
          </w:p>
        </w:tc>
        <w:tc>
          <w:tcPr>
            <w:tcW w:type="dxa" w:w="3969"/>
            <w:shd w:val="clear" w:color="auto" w:fill="F7F0FB"/>
          </w:tcPr>
          <w:p>
            <w:pPr>
              <w:spacing w:before="60" w:after="60"/>
            </w:pPr>
            <w:r/>
          </w:p>
        </w:tc>
      </w:tr>
      <w:tr>
        <w:trPr>
          <w:cantSplit w:val="true"/>
          <w:trHeight w:val="1644"/>
        </w:trPr>
        <w:tc>
          <w:tcPr>
            <w:tcW w:type="dxa" w:w="2041"/>
          </w:tcPr>
          <w:p>
            <w:pPr>
              <w:spacing w:before="60" w:after="60"/>
            </w:pPr>
            <w:r>
              <w:rPr>
                <w:b/>
              </w:rPr>
              <w:t>Caring</w:t>
            </w:r>
          </w:p>
        </w:tc>
        <w:tc>
          <w:tcPr>
            <w:tcW w:type="dxa" w:w="3628"/>
          </w:tcPr>
          <w:p>
            <w:pPr>
              <w:spacing w:before="60" w:after="60"/>
            </w:pPr>
            <w:r>
              <w:t>What feelings, interests or values do you hope learners will adopt?</w:t>
            </w:r>
          </w:p>
        </w:tc>
        <w:tc>
          <w:tcPr>
            <w:tcW w:type="dxa" w:w="3969"/>
          </w:tcPr>
          <w:p>
            <w:pPr>
              <w:spacing w:before="60" w:after="60"/>
            </w:pPr>
            <w:r/>
          </w:p>
        </w:tc>
      </w:tr>
      <w:tr>
        <w:trPr>
          <w:cantSplit w:val="true"/>
          <w:trHeight w:val="1644"/>
        </w:trPr>
        <w:tc>
          <w:tcPr>
            <w:tcW w:type="dxa" w:w="2041"/>
            <w:shd w:val="clear" w:color="auto" w:fill="F7F0FB"/>
          </w:tcPr>
          <w:p>
            <w:pPr>
              <w:spacing w:before="60" w:after="60"/>
            </w:pPr>
            <w:r>
              <w:rPr>
                <w:b/>
              </w:rPr>
              <w:t>Learning how to learn</w:t>
            </w:r>
          </w:p>
        </w:tc>
        <w:tc>
          <w:tcPr>
            <w:tcW w:type="dxa" w:w="3628"/>
            <w:shd w:val="clear" w:color="auto" w:fill="F7F0FB"/>
          </w:tcPr>
          <w:p>
            <w:pPr>
              <w:spacing w:before="60" w:after="60"/>
            </w:pPr>
            <w:r>
              <w:t>How will learners keep learning about this once the course ends?</w:t>
            </w:r>
          </w:p>
        </w:tc>
        <w:tc>
          <w:tcPr>
            <w:tcW w:type="dxa" w:w="3969"/>
            <w:shd w:val="clear" w:color="auto" w:fill="F7F0FB"/>
          </w:tcPr>
          <w:p>
            <w:pPr>
              <w:spacing w:before="60" w:after="60"/>
            </w:pPr>
            <w:r/>
          </w:p>
        </w:tc>
      </w:tr>
    </w:tbl>
    <w:p>
      <w:r>
        <w:br w:type="page"/>
      </w:r>
    </w:p>
    <w:p>
      <w:pPr>
        <w:keepNext/>
        <w:spacing w:before="240" w:after="80"/>
      </w:pPr>
      <w:r>
        <w:rPr>
          <w:b/>
          <w:color w:val="5D008F"/>
          <w:sz w:val="28"/>
        </w:rPr>
        <w:t>Step 3. The planning table (often called the three-column table)</w:t>
      </w:r>
    </w:p>
    <w:p>
      <w:r>
        <w:t>Copy each goal into column one. Then decide how learners will show they reached it and get feedback, then what they will do to get there, then any people or materials you need. Fink's own worksheet has the fourth column for resources.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
              <w:rPr>
                <w:b/>
                <w:color w:val="FFFFFF"/>
              </w:rPr>
              <w:t>Learning goal</w:t>
            </w:r>
          </w:p>
        </w:tc>
        <w:tc>
          <w:tcPr>
            <w:tcW w:type="dxa" w:w="2608"/>
            <w:shd w:val="clear" w:color="auto" w:fill="5D008F"/>
          </w:tcPr>
          <w:p>
            <w:pPr>
              <w:spacing w:before="60" w:after="60"/>
            </w:pPr>
            <w:r/>
            <w:r>
              <w:rPr>
                <w:b/>
                <w:color w:val="FFFFFF"/>
              </w:rPr>
              <w:t>Feedback and assessment</w:t>
            </w:r>
          </w:p>
        </w:tc>
        <w:tc>
          <w:tcPr>
            <w:tcW w:type="dxa" w:w="2608"/>
            <w:shd w:val="clear" w:color="auto" w:fill="5D008F"/>
          </w:tcPr>
          <w:p>
            <w:pPr>
              <w:spacing w:before="60" w:after="60"/>
            </w:pPr>
            <w:r/>
            <w:r>
              <w:rPr>
                <w:b/>
                <w:color w:val="FFFFFF"/>
              </w:rPr>
              <w:t>Learning activities</w:t>
            </w:r>
          </w:p>
        </w:tc>
        <w:tc>
          <w:tcPr>
            <w:tcW w:type="dxa" w:w="1928"/>
            <w:shd w:val="clear" w:color="auto" w:fill="5D008F"/>
          </w:tcPr>
          <w:p>
            <w:pPr>
              <w:spacing w:before="60" w:after="60"/>
            </w:pPr>
            <w:r/>
            <w:r>
              <w:rPr>
                <w:b/>
                <w:color w:val="FFFFFF"/>
              </w:rPr>
              <w:t>Helpful resources</w:t>
            </w:r>
          </w:p>
        </w:tc>
      </w:tr>
      <w:tr>
        <w:trPr>
          <w:cantSplit w:val="true"/>
          <w:trHeight w:val="1304"/>
        </w:trPr>
        <w:tc>
          <w:tcPr>
            <w:tcW w:type="dxa" w:w="2494"/>
          </w:tcPr>
          <w:p>
            <w:pPr>
              <w:spacing w:before="60" w:after="60"/>
            </w:pPr>
            <w:r>
              <w:rPr>
                <w:b/>
              </w:rPr>
              <w:t>Foundational knowledge:</w:t>
            </w:r>
          </w:p>
        </w:tc>
        <w:tc>
          <w:tcPr>
            <w:tcW w:type="dxa" w:w="2608"/>
          </w:tcPr>
          <w:p>
            <w:pPr>
              <w:spacing w:before="60" w:after="60"/>
            </w:pPr>
            <w:r/>
          </w:p>
        </w:tc>
        <w:tc>
          <w:tcPr>
            <w:tcW w:type="dxa" w:w="2608"/>
          </w:tcPr>
          <w:p>
            <w:pPr>
              <w:spacing w:before="60" w:after="60"/>
            </w:pPr>
            <w:r/>
          </w:p>
        </w:tc>
        <w:tc>
          <w:tcPr>
            <w:tcW w:type="dxa" w:w="1928"/>
          </w:tcPr>
          <w:p>
            <w:pPr>
              <w:spacing w:before="60" w:after="60"/>
            </w:pPr>
            <w:r/>
          </w:p>
        </w:tc>
      </w:tr>
      <w:tr>
        <w:trPr>
          <w:cantSplit w:val="true"/>
          <w:trHeight w:val="1304"/>
        </w:trPr>
        <w:tc>
          <w:tcPr>
            <w:tcW w:type="dxa" w:w="2494"/>
            <w:shd w:val="clear" w:color="auto" w:fill="F7F0FB"/>
          </w:tcPr>
          <w:p>
            <w:pPr>
              <w:spacing w:before="60" w:after="60"/>
            </w:pPr>
            <w:r>
              <w:rPr>
                <w:b/>
              </w:rPr>
              <w:t>Application:</w:t>
            </w:r>
          </w:p>
        </w:tc>
        <w:tc>
          <w:tcPr>
            <w:tcW w:type="dxa" w:w="2608"/>
            <w:shd w:val="clear" w:color="auto" w:fill="F7F0FB"/>
          </w:tcPr>
          <w:p>
            <w:pPr>
              <w:spacing w:before="60" w:after="60"/>
            </w:pPr>
            <w:r/>
          </w:p>
        </w:tc>
        <w:tc>
          <w:tcPr>
            <w:tcW w:type="dxa" w:w="2608"/>
            <w:shd w:val="clear" w:color="auto" w:fill="F7F0FB"/>
          </w:tcPr>
          <w:p>
            <w:pPr>
              <w:spacing w:before="60" w:after="60"/>
            </w:pPr>
            <w:r/>
          </w:p>
        </w:tc>
        <w:tc>
          <w:tcPr>
            <w:tcW w:type="dxa" w:w="1928"/>
            <w:shd w:val="clear" w:color="auto" w:fill="F7F0FB"/>
          </w:tcPr>
          <w:p>
            <w:pPr>
              <w:spacing w:before="60" w:after="60"/>
            </w:pPr>
            <w:r/>
          </w:p>
        </w:tc>
      </w:tr>
      <w:tr>
        <w:trPr>
          <w:cantSplit w:val="true"/>
          <w:trHeight w:val="1304"/>
        </w:trPr>
        <w:tc>
          <w:tcPr>
            <w:tcW w:type="dxa" w:w="2494"/>
          </w:tcPr>
          <w:p>
            <w:pPr>
              <w:spacing w:before="60" w:after="60"/>
            </w:pPr>
            <w:r>
              <w:rPr>
                <w:b/>
              </w:rPr>
              <w:t>Integration:</w:t>
            </w:r>
          </w:p>
        </w:tc>
        <w:tc>
          <w:tcPr>
            <w:tcW w:type="dxa" w:w="2608"/>
          </w:tcPr>
          <w:p>
            <w:pPr>
              <w:spacing w:before="60" w:after="60"/>
            </w:pPr>
            <w:r/>
          </w:p>
        </w:tc>
        <w:tc>
          <w:tcPr>
            <w:tcW w:type="dxa" w:w="2608"/>
          </w:tcPr>
          <w:p>
            <w:pPr>
              <w:spacing w:before="60" w:after="60"/>
            </w:pPr>
            <w:r/>
          </w:p>
        </w:tc>
        <w:tc>
          <w:tcPr>
            <w:tcW w:type="dxa" w:w="1928"/>
          </w:tcPr>
          <w:p>
            <w:pPr>
              <w:spacing w:before="60" w:after="60"/>
            </w:pPr>
            <w:r/>
          </w:p>
        </w:tc>
      </w:tr>
      <w:tr>
        <w:trPr>
          <w:cantSplit w:val="true"/>
          <w:trHeight w:val="1304"/>
        </w:trPr>
        <w:tc>
          <w:tcPr>
            <w:tcW w:type="dxa" w:w="2494"/>
            <w:shd w:val="clear" w:color="auto" w:fill="F7F0FB"/>
          </w:tcPr>
          <w:p>
            <w:pPr>
              <w:spacing w:before="60" w:after="60"/>
            </w:pPr>
            <w:r>
              <w:rPr>
                <w:b/>
              </w:rPr>
              <w:t>Human dimension:</w:t>
            </w:r>
          </w:p>
        </w:tc>
        <w:tc>
          <w:tcPr>
            <w:tcW w:type="dxa" w:w="2608"/>
            <w:shd w:val="clear" w:color="auto" w:fill="F7F0FB"/>
          </w:tcPr>
          <w:p>
            <w:pPr>
              <w:spacing w:before="60" w:after="60"/>
            </w:pPr>
            <w:r/>
          </w:p>
        </w:tc>
        <w:tc>
          <w:tcPr>
            <w:tcW w:type="dxa" w:w="2608"/>
            <w:shd w:val="clear" w:color="auto" w:fill="F7F0FB"/>
          </w:tcPr>
          <w:p>
            <w:pPr>
              <w:spacing w:before="60" w:after="60"/>
            </w:pPr>
            <w:r/>
          </w:p>
        </w:tc>
        <w:tc>
          <w:tcPr>
            <w:tcW w:type="dxa" w:w="1928"/>
            <w:shd w:val="clear" w:color="auto" w:fill="F7F0FB"/>
          </w:tcPr>
          <w:p>
            <w:pPr>
              <w:spacing w:before="60" w:after="60"/>
            </w:pPr>
            <w:r/>
          </w:p>
        </w:tc>
      </w:tr>
      <w:tr>
        <w:trPr>
          <w:cantSplit w:val="true"/>
          <w:trHeight w:val="1304"/>
        </w:trPr>
        <w:tc>
          <w:tcPr>
            <w:tcW w:type="dxa" w:w="2494"/>
          </w:tcPr>
          <w:p>
            <w:pPr>
              <w:spacing w:before="60" w:after="60"/>
            </w:pPr>
            <w:r>
              <w:rPr>
                <w:b/>
              </w:rPr>
              <w:t>Caring:</w:t>
            </w:r>
          </w:p>
        </w:tc>
        <w:tc>
          <w:tcPr>
            <w:tcW w:type="dxa" w:w="2608"/>
          </w:tcPr>
          <w:p>
            <w:pPr>
              <w:spacing w:before="60" w:after="60"/>
            </w:pPr>
            <w:r/>
          </w:p>
        </w:tc>
        <w:tc>
          <w:tcPr>
            <w:tcW w:type="dxa" w:w="2608"/>
          </w:tcPr>
          <w:p>
            <w:pPr>
              <w:spacing w:before="60" w:after="60"/>
            </w:pPr>
            <w:r/>
          </w:p>
        </w:tc>
        <w:tc>
          <w:tcPr>
            <w:tcW w:type="dxa" w:w="1928"/>
          </w:tcPr>
          <w:p>
            <w:pPr>
              <w:spacing w:before="60" w:after="60"/>
            </w:pPr>
            <w:r/>
          </w:p>
        </w:tc>
      </w:tr>
      <w:tr>
        <w:trPr>
          <w:cantSplit w:val="true"/>
          <w:trHeight w:val="1304"/>
        </w:trPr>
        <w:tc>
          <w:tcPr>
            <w:tcW w:type="dxa" w:w="2494"/>
            <w:shd w:val="clear" w:color="auto" w:fill="F7F0FB"/>
          </w:tcPr>
          <w:p>
            <w:pPr>
              <w:spacing w:before="60" w:after="60"/>
            </w:pPr>
            <w:r>
              <w:rPr>
                <w:b/>
              </w:rPr>
              <w:t>Learning how to learn:</w:t>
            </w:r>
          </w:p>
        </w:tc>
        <w:tc>
          <w:tcPr>
            <w:tcW w:type="dxa" w:w="2608"/>
            <w:shd w:val="clear" w:color="auto" w:fill="F7F0FB"/>
          </w:tcPr>
          <w:p>
            <w:pPr>
              <w:spacing w:before="60" w:after="60"/>
            </w:pPr>
            <w:r/>
          </w:p>
        </w:tc>
        <w:tc>
          <w:tcPr>
            <w:tcW w:type="dxa" w:w="2608"/>
            <w:shd w:val="clear" w:color="auto" w:fill="F7F0FB"/>
          </w:tcPr>
          <w:p>
            <w:pPr>
              <w:spacing w:before="60" w:after="60"/>
            </w:pPr>
            <w:r/>
          </w:p>
        </w:tc>
        <w:tc>
          <w:tcPr>
            <w:tcW w:type="dxa" w:w="1928"/>
            <w:shd w:val="clear" w:color="auto" w:fill="F7F0FB"/>
          </w:tcPr>
          <w:p>
            <w:pPr>
              <w:spacing w:before="60" w:after="60"/>
            </w:pPr>
            <w:r/>
          </w:p>
        </w:tc>
      </w:tr>
    </w:tbl>
    <w:p>
      <w:pPr>
        <w:spacing w:before="160"/>
      </w:pPr>
      <w:r>
        <w:t>Step 4. Check the rows line up: an activity that supports no goal can usually be cut, and a goal with no assessment cannot be checked.</w:t>
      </w:r>
    </w:p>
    <w:p>
      <w:pPr>
        <w:keepNext/>
        <w:spacing w:before="240" w:after="80"/>
      </w:pPr>
      <w:r>
        <w:rPr>
          <w:b/>
          <w:color w:val="5D008F"/>
          <w:sz w:val="28"/>
        </w:rPr>
        <w:t>Feedback check (FIDeLity)</w:t>
      </w:r>
    </w:p>
    <w:p>
      <w:r>
        <w:t>For each assessment, check that the feedback is:</w:t>
      </w:r>
    </w:p>
    <w:p>
      <w:pPr>
        <w:pStyle w:val="ListBullet"/>
      </w:pPr>
      <w:r>
        <w:t>Frequent: learners get it during the course, not only at the end.</w:t>
      </w:r>
    </w:p>
    <w:p>
      <w:pPr>
        <w:pStyle w:val="ListBullet"/>
      </w:pPr>
      <w:r>
        <w:t>Immediate: it arrives close to when they did the work.</w:t>
      </w:r>
    </w:p>
    <w:p>
      <w:pPr>
        <w:pStyle w:val="ListBullet"/>
      </w:pPr>
      <w:r>
        <w:t>Discriminating: it shows the difference between poor, acceptable and excellent work.</w:t>
      </w:r>
    </w:p>
    <w:p>
      <w:pPr>
        <w:pStyle w:val="ListBullet"/>
      </w:pPr>
      <w:r>
        <w:t>Lovingly delivered: it is given with empathy, so the learner can hear it.</w:t>
      </w:r>
    </w:p>
    <w:p>
      <w:r>
        <w:br w:type="page"/>
      </w:r>
    </w:p>
    <w:p>
      <w:pPr>
        <w:keepNext/>
        <w:spacing w:before="240" w:after="80"/>
      </w:pPr>
      <w:r>
        <w:rPr>
          <w:b/>
          <w:color w:val="5D008F"/>
          <w:sz w:val="28"/>
        </w:rPr>
        <w:t>Worked example: complaint handling for new live-chat support agents</w:t>
      </w:r>
    </w:p>
    <w:p>
      <w:r>
        <w:t>Hypothetical example. 20 new agents a month, remote, six hours of training in week two, and a quality team that already scores live chats.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608"/>
            <w:shd w:val="clear" w:color="auto" w:fill="5D008F"/>
          </w:tcPr>
          <w:p>
            <w:pPr>
              <w:spacing w:before="60" w:after="60"/>
            </w:pPr>
            <w:r/>
            <w:r>
              <w:rPr>
                <w:b/>
                <w:color w:val="FFFFFF"/>
              </w:rPr>
              <w:t>Learning goal</w:t>
            </w:r>
          </w:p>
        </w:tc>
        <w:tc>
          <w:tcPr>
            <w:tcW w:type="dxa" w:w="2494"/>
            <w:shd w:val="clear" w:color="auto" w:fill="5D008F"/>
          </w:tcPr>
          <w:p>
            <w:pPr>
              <w:spacing w:before="60" w:after="60"/>
            </w:pPr>
            <w:r/>
            <w:r>
              <w:rPr>
                <w:b/>
                <w:color w:val="FFFFFF"/>
              </w:rPr>
              <w:t>Feedback and assessment</w:t>
            </w:r>
          </w:p>
        </w:tc>
        <w:tc>
          <w:tcPr>
            <w:tcW w:type="dxa" w:w="2494"/>
            <w:shd w:val="clear" w:color="auto" w:fill="5D008F"/>
          </w:tcPr>
          <w:p>
            <w:pPr>
              <w:spacing w:before="60" w:after="60"/>
            </w:pPr>
            <w:r/>
            <w:r>
              <w:rPr>
                <w:b/>
                <w:color w:val="FFFFFF"/>
              </w:rPr>
              <w:t>Learning activities</w:t>
            </w:r>
          </w:p>
        </w:tc>
        <w:tc>
          <w:tcPr>
            <w:tcW w:type="dxa" w:w="2041"/>
            <w:shd w:val="clear" w:color="auto" w:fill="5D008F"/>
          </w:tcPr>
          <w:p>
            <w:pPr>
              <w:spacing w:before="60" w:after="60"/>
            </w:pPr>
            <w:r/>
            <w:r>
              <w:rPr>
                <w:b/>
                <w:color w:val="FFFFFF"/>
              </w:rPr>
              <w:t>Helpful resources</w:t>
            </w:r>
          </w:p>
        </w:tc>
      </w:tr>
      <w:tr>
        <w:trPr>
          <w:cantSplit w:val="true"/>
        </w:trPr>
        <w:tc>
          <w:tcPr>
            <w:tcW w:type="dxa" w:w="2608"/>
          </w:tcPr>
          <w:p>
            <w:pPr>
              <w:spacing w:before="60" w:after="60"/>
            </w:pPr>
            <w:r>
              <w:t>Explain the refund, replacement and escalation rules and why they exist (foundational knowledge)</w:t>
            </w:r>
          </w:p>
        </w:tc>
        <w:tc>
          <w:tcPr>
            <w:tcW w:type="dxa" w:w="2494"/>
          </w:tcPr>
          <w:p>
            <w:pPr>
              <w:spacing w:before="60" w:after="60"/>
            </w:pPr>
            <w:r>
              <w:t>Scenario questions asking which rule applies and why</w:t>
            </w:r>
          </w:p>
        </w:tc>
        <w:tc>
          <w:tcPr>
            <w:tcW w:type="dxa" w:w="2494"/>
          </w:tcPr>
          <w:p>
            <w:pPr>
              <w:spacing w:before="60" w:after="60"/>
            </w:pPr>
            <w:r>
              <w:t>Short policy explainer with the reason behind each rule</w:t>
            </w:r>
          </w:p>
        </w:tc>
        <w:tc>
          <w:tcPr>
            <w:tcW w:type="dxa" w:w="2041"/>
          </w:tcPr>
          <w:p>
            <w:pPr>
              <w:spacing w:before="60" w:after="60"/>
            </w:pPr>
            <w:r>
              <w:t>Policy owner reviews the explainer</w:t>
            </w:r>
          </w:p>
        </w:tc>
      </w:tr>
      <w:tr>
        <w:trPr>
          <w:cantSplit w:val="true"/>
        </w:trPr>
        <w:tc>
          <w:tcPr>
            <w:tcW w:type="dxa" w:w="2608"/>
            <w:shd w:val="clear" w:color="auto" w:fill="F7F0FB"/>
          </w:tcPr>
          <w:p>
            <w:pPr>
              <w:spacing w:before="60" w:after="60"/>
            </w:pPr>
            <w:r>
              <w:t>Resolve a complaint in a chat simulation within policy (application)</w:t>
            </w:r>
          </w:p>
        </w:tc>
        <w:tc>
          <w:tcPr>
            <w:tcW w:type="dxa" w:w="2494"/>
            <w:shd w:val="clear" w:color="auto" w:fill="F7F0FB"/>
          </w:tcPr>
          <w:p>
            <w:pPr>
              <w:spacing w:before="60" w:after="60"/>
            </w:pPr>
            <w:r>
              <w:t>Simulation scored on the team's quality rubric</w:t>
            </w:r>
          </w:p>
        </w:tc>
        <w:tc>
          <w:tcPr>
            <w:tcW w:type="dxa" w:w="2494"/>
            <w:shd w:val="clear" w:color="auto" w:fill="F7F0FB"/>
          </w:tcPr>
          <w:p>
            <w:pPr>
              <w:spacing w:before="60" w:after="60"/>
            </w:pPr>
            <w:r>
              <w:t>Three chat simulations of rising difficulty</w:t>
            </w:r>
          </w:p>
        </w:tc>
        <w:tc>
          <w:tcPr>
            <w:tcW w:type="dxa" w:w="2041"/>
            <w:shd w:val="clear" w:color="auto" w:fill="F7F0FB"/>
          </w:tcPr>
          <w:p>
            <w:pPr>
              <w:spacing w:before="60" w:after="60"/>
            </w:pPr>
            <w:r>
              <w:t>Quality rubric, simulation scripts</w:t>
            </w:r>
          </w:p>
        </w:tc>
      </w:tr>
      <w:tr>
        <w:trPr>
          <w:cantSplit w:val="true"/>
        </w:trPr>
        <w:tc>
          <w:tcPr>
            <w:tcW w:type="dxa" w:w="2608"/>
          </w:tcPr>
          <w:p>
            <w:pPr>
              <w:spacing w:before="60" w:after="60"/>
            </w:pPr>
            <w:r>
              <w:t>Trace a complaint to its likely cause and log it (integration)</w:t>
            </w:r>
          </w:p>
        </w:tc>
        <w:tc>
          <w:tcPr>
            <w:tcW w:type="dxa" w:w="2494"/>
          </w:tcPr>
          <w:p>
            <w:pPr>
              <w:spacing w:before="60" w:after="60"/>
            </w:pPr>
            <w:r>
              <w:t>Root-cause tags on five past tickets, compared with a team lead's</w:t>
            </w:r>
          </w:p>
        </w:tc>
        <w:tc>
          <w:tcPr>
            <w:tcW w:type="dxa" w:w="2494"/>
          </w:tcPr>
          <w:p>
            <w:pPr>
              <w:spacing w:before="60" w:after="60"/>
            </w:pPr>
            <w:r>
              <w:t>Session with a logistics coordinator</w:t>
            </w:r>
          </w:p>
        </w:tc>
        <w:tc>
          <w:tcPr>
            <w:tcW w:type="dxa" w:w="2041"/>
          </w:tcPr>
          <w:p>
            <w:pPr>
              <w:spacing w:before="60" w:after="60"/>
            </w:pPr>
            <w:r>
              <w:t>Five anonymised past tickets</w:t>
            </w:r>
          </w:p>
        </w:tc>
      </w:tr>
      <w:tr>
        <w:trPr>
          <w:cantSplit w:val="true"/>
        </w:trPr>
        <w:tc>
          <w:tcPr>
            <w:tcW w:type="dxa" w:w="2608"/>
            <w:shd w:val="clear" w:color="auto" w:fill="F7F0FB"/>
          </w:tcPr>
          <w:p>
            <w:pPr>
              <w:spacing w:before="60" w:after="60"/>
            </w:pPr>
            <w:r>
              <w:t>Notice and manage their own reaction to a rude customer (human dimension)</w:t>
            </w:r>
          </w:p>
        </w:tc>
        <w:tc>
          <w:tcPr>
            <w:tcW w:type="dxa" w:w="2494"/>
            <w:shd w:val="clear" w:color="auto" w:fill="F7F0FB"/>
          </w:tcPr>
          <w:p>
            <w:pPr>
              <w:spacing w:before="60" w:after="60"/>
            </w:pPr>
            <w:r>
              <w:t>Written reflection plus peer feedback on a practice chat</w:t>
            </w:r>
          </w:p>
        </w:tc>
        <w:tc>
          <w:tcPr>
            <w:tcW w:type="dxa" w:w="2494"/>
            <w:shd w:val="clear" w:color="auto" w:fill="F7F0FB"/>
          </w:tcPr>
          <w:p>
            <w:pPr>
              <w:spacing w:before="60" w:after="60"/>
            </w:pPr>
            <w:r>
              <w:t>Role swap: each agent plays the customer once</w:t>
            </w:r>
          </w:p>
        </w:tc>
        <w:tc>
          <w:tcPr>
            <w:tcW w:type="dxa" w:w="2041"/>
            <w:shd w:val="clear" w:color="auto" w:fill="F7F0FB"/>
          </w:tcPr>
          <w:p>
            <w:pPr>
              <w:spacing w:before="60" w:after="60"/>
            </w:pPr>
            <w:r>
              <w:t>Reflection prompt, peer feedback form</w:t>
            </w:r>
          </w:p>
        </w:tc>
      </w:tr>
      <w:tr>
        <w:trPr>
          <w:cantSplit w:val="true"/>
        </w:trPr>
        <w:tc>
          <w:tcPr>
            <w:tcW w:type="dxa" w:w="2608"/>
          </w:tcPr>
          <w:p>
            <w:pPr>
              <w:spacing w:before="60" w:after="60"/>
            </w:pPr>
            <w:r>
              <w:t>Value a resolved problem over a closed ticket (caring)</w:t>
            </w:r>
          </w:p>
        </w:tc>
        <w:tc>
          <w:tcPr>
            <w:tcW w:type="dxa" w:w="2494"/>
          </w:tcPr>
          <w:p>
            <w:pPr>
              <w:spacing w:before="60" w:after="60"/>
            </w:pPr>
            <w:r>
              <w:t>Follow-up rate on unresolved tickets, plus a reflection question</w:t>
            </w:r>
          </w:p>
        </w:tc>
        <w:tc>
          <w:tcPr>
            <w:tcW w:type="dxa" w:w="2494"/>
          </w:tcPr>
          <w:p>
            <w:pPr>
              <w:spacing w:before="60" w:after="60"/>
            </w:pPr>
            <w:r>
              <w:t>Customer recording played before the hardest simulation</w:t>
            </w:r>
          </w:p>
        </w:tc>
        <w:tc>
          <w:tcPr>
            <w:tcW w:type="dxa" w:w="2041"/>
          </w:tcPr>
          <w:p>
            <w:pPr>
              <w:spacing w:before="60" w:after="60"/>
            </w:pPr>
            <w:r>
              <w:t>A customer willing to be recorded</w:t>
            </w:r>
          </w:p>
        </w:tc>
      </w:tr>
      <w:tr>
        <w:trPr>
          <w:cantSplit w:val="true"/>
        </w:trPr>
        <w:tc>
          <w:tcPr>
            <w:tcW w:type="dxa" w:w="2608"/>
            <w:shd w:val="clear" w:color="auto" w:fill="F7F0FB"/>
          </w:tcPr>
          <w:p>
            <w:pPr>
              <w:spacing w:before="60" w:after="60"/>
            </w:pPr>
            <w:r>
              <w:t>Review their own transcripts and choose one change each week (learning how to learn)</w:t>
            </w:r>
          </w:p>
        </w:tc>
        <w:tc>
          <w:tcPr>
            <w:tcW w:type="dxa" w:w="2494"/>
            <w:shd w:val="clear" w:color="auto" w:fill="F7F0FB"/>
          </w:tcPr>
          <w:p>
            <w:pPr>
              <w:spacing w:before="60" w:after="60"/>
            </w:pPr>
            <w:r>
              <w:t>Learning log checked at the 30-day review</w:t>
            </w:r>
          </w:p>
        </w:tc>
        <w:tc>
          <w:tcPr>
            <w:tcW w:type="dxa" w:w="2494"/>
            <w:shd w:val="clear" w:color="auto" w:fill="F7F0FB"/>
          </w:tcPr>
          <w:p>
            <w:pPr>
              <w:spacing w:before="60" w:after="60"/>
            </w:pPr>
            <w:r>
              <w:t>Set up the weekly review habit with a log template</w:t>
            </w:r>
          </w:p>
        </w:tc>
        <w:tc>
          <w:tcPr>
            <w:tcW w:type="dxa" w:w="2041"/>
            <w:shd w:val="clear" w:color="auto" w:fill="F7F0FB"/>
          </w:tcPr>
          <w:p>
            <w:pPr>
              <w:spacing w:before="60" w:after="60"/>
            </w:pPr>
            <w:r>
              <w:t>Log template, team lead time at day 30</w:t>
            </w:r>
          </w:p>
        </w:tc>
      </w:tr>
    </w:tbl>
    <w:p>
      <w:pPr>
        <w:spacing w:before="160"/>
      </w:pPr>
      <w:r>
        <w:rPr>
          <w:i/>
          <w:color w:val="5A5766"/>
        </w:rPr>
        <w:t>Assess caring and the human dimension through behaviour and reflection. Never grade what someone feels.</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