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Planningsblad 5 Moments of Need</w:t>
      </w:r>
    </w:p>
    <w:p>
      <w:r>
        <w:rPr>
          <w:color w:val="5A5766"/>
          <w:sz w:val="22"/>
        </w:rPr>
        <w:t>Hulp plannen bij één soort werk: een takenlijst met wat een fout zou kosten en wat naar training gaat, daarna één rij voor elk van de vijf momenten (New, More, Apply, Solve en Change). Een Coursebox-bewerking van de 5 Moments of Need van Conrad Gottfredson en Bob Mosher, niet hun werkblad of betaalde workflowanalyse, zonder score. Voorbeeld: het storingsrooster van een fictief liftbedrijf.</w:t>
      </w:r>
    </w:p>
    <w:p>
      <w:r>
        <w:rPr>
          <w:i/>
          <w:color w:val="5A5766"/>
          <w:sz w:val="18"/>
        </w:rPr>
        <w:t>Uit de Coursebox-blog: coursebox.ai/nl/blog/vijf-momenten-van-behoefte-tijdens-het-leren</w:t>
      </w:r>
    </w:p>
    <w:p>
      <w:pPr>
        <w:keepNext/>
        <w:spacing w:before="240" w:after="80"/>
      </w:pPr>
      <w:r>
        <w:rPr>
          <w:b/>
          <w:color w:val="5D008F"/>
          <w:sz w:val="28"/>
        </w:rPr>
        <w:t>Zo gebruik je dit blad</w:t>
      </w:r>
    </w:p>
    <w:p>
      <w:pPr>
        <w:pStyle w:val="ListBullet"/>
      </w:pPr>
      <w:r>
        <w:t>Gebruik één blad per soort werk, zoals een storingsoproep afhandelen of een terugbetaling verwerken. Beschrijf het werk van begin tot eind, in de volgorde van uitvoering.</w:t>
      </w:r>
    </w:p>
    <w:p>
      <w:pPr>
        <w:pStyle w:val="ListBullet"/>
      </w:pPr>
      <w:r>
        <w:t>Deel 1: zet de taken op een rij en beoordeel wat een fout zou kosten. Hoog betekent letsel of schade die moeilijk te herstellen is. Beoordeel vereisten voor cursisten apart; ervaring neemt veiligheidsgevolgen niet weg. Gottfredson en Mosher noemen dit de kritieke impact van falen.</w:t>
      </w:r>
    </w:p>
    <w:p>
      <w:pPr>
        <w:pStyle w:val="ListBullet"/>
      </w:pPr>
      <w:r>
        <w:t>Kies oefening en aftekening vóór zelfstandig werk op basis van de foutimpact, vereisten en taakbevoegdheid. Taken met lager risico kunnen met job aids, passende ondersteuning en opschaling.</w:t>
      </w:r>
    </w:p>
    <w:p>
      <w:pPr>
        <w:pStyle w:val="ListBullet"/>
      </w:pPr>
      <w:r>
        <w:t>Deel 2: noteer per moment wat de persoon doet, waar die is, de ondersteuning en hoe je controleert of die werkt. Plan eerst de hulp voor Apply en bepaal daarna wat nog een cursus vraagt.</w:t>
      </w:r>
    </w:p>
    <w:p>
      <w:pPr>
        <w:pStyle w:val="ListBullet"/>
      </w:pPr>
      <w:r>
        <w:t>Gebruik actuele goedgekeurde procedures van fabrikant en locatie, taakbevoegdheid en opschaling. Test de bruikbaarheid eerst gecontroleerd. Het liftvoorbeeld is fictief; procedure en storingscode zijn illustratief.</w:t>
      </w:r>
    </w:p>
    <w:p>
      <w:pPr>
        <w:keepNext/>
        <w:spacing w:before="240" w:after="80"/>
      </w:pPr>
      <w:r>
        <w:rPr>
          <w:b/>
          <w:color w:val="5D008F"/>
          <w:sz w:val="28"/>
        </w:rPr>
        <w:t>Deel 1. Takenlijst en wat een fout zou kosten (voorbeeld)</w:t>
      </w:r>
    </w:p>
    <w:p>
      <w:r>
        <w:t>Voorbeeldwerk: een liftstoring afhandelen en de lift weer in bedrijf stellen, voor monteurs die nieuw zijn op het rooster buiten kantooruren van een liftbedrijf. Een senior monteur tekent hun eerste oproepen af. Vanaf 1 maart bellen ze de meldkamer vóór elke bevrijding en sluiten ze werkbonnen af in de app met een foto van het slot.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608"/>
            <w:shd w:val="clear" w:color="auto" w:fill="5D008F"/>
          </w:tcPr>
          <w:p>
            <w:pPr>
              <w:spacing w:before="60" w:after="60"/>
            </w:pPr>
            <w:r>
              <w:rPr>
                <w:color w:val="FFFFFF"/>
              </w:rPr>
            </w:r>
            <w:r>
              <w:rPr>
                <w:b/>
                <w:color w:val="FFFFFF"/>
              </w:rPr>
              <w:t>Taak, op volgorde</w:t>
            </w:r>
          </w:p>
        </w:tc>
        <w:tc>
          <w:tcPr>
            <w:tcW w:type="dxa" w:w="2608"/>
            <w:shd w:val="clear" w:color="auto" w:fill="5D008F"/>
          </w:tcPr>
          <w:p>
            <w:pPr>
              <w:spacing w:before="60" w:after="60"/>
            </w:pPr>
            <w:r>
              <w:rPr>
                <w:color w:val="FFFFFF"/>
              </w:rPr>
            </w:r>
            <w:r>
              <w:rPr>
                <w:b/>
                <w:color w:val="FFFFFF"/>
              </w:rPr>
              <w:t>Wat een fout zou kosten</w:t>
            </w:r>
          </w:p>
        </w:tc>
        <w:tc>
          <w:tcPr>
            <w:tcW w:type="dxa" w:w="1134"/>
            <w:shd w:val="clear" w:color="auto" w:fill="5D008F"/>
          </w:tcPr>
          <w:p>
            <w:pPr>
              <w:spacing w:before="60" w:after="60"/>
            </w:pPr>
            <w:r>
              <w:rPr>
                <w:color w:val="FFFFFF"/>
              </w:rPr>
            </w:r>
            <w:r>
              <w:rPr>
                <w:b/>
                <w:color w:val="FFFFFF"/>
              </w:rPr>
              <w:t>Hoog of laag</w:t>
            </w:r>
          </w:p>
        </w:tc>
        <w:tc>
          <w:tcPr>
            <w:tcW w:type="dxa" w:w="3288"/>
            <w:shd w:val="clear" w:color="auto" w:fill="5D008F"/>
          </w:tcPr>
          <w:p>
            <w:pPr>
              <w:spacing w:before="60" w:after="60"/>
            </w:pPr>
            <w:r>
              <w:rPr>
                <w:color w:val="FFFFFF"/>
              </w:rPr>
            </w:r>
            <w:r>
              <w:rPr>
                <w:b/>
                <w:color w:val="FFFFFF"/>
              </w:rPr>
              <w:t>Waar het thuishoort</w:t>
            </w:r>
          </w:p>
        </w:tc>
      </w:tr>
      <w:tr>
        <w:trPr>
          <w:cantSplit w:val="true"/>
        </w:trPr>
        <w:tc>
          <w:tcPr>
            <w:tcW w:type="dxa" w:w="2608"/>
          </w:tcPr>
          <w:p>
            <w:pPr>
              <w:spacing w:before="60" w:after="60"/>
            </w:pPr>
            <w:r>
              <w:rPr>
                <w:b/>
              </w:rPr>
              <w:t>Nagaan of er iemand opgesloten zit en de meldkamer bellen</w:t>
            </w:r>
          </w:p>
        </w:tc>
        <w:tc>
          <w:tcPr>
            <w:tcW w:type="dxa" w:w="2608"/>
          </w:tcPr>
          <w:p>
            <w:pPr>
              <w:spacing w:before="60" w:after="60"/>
            </w:pPr>
            <w:r>
              <w:t>Een gemiste passagier of te laat telefoontje brengt mensen in gevaar</w:t>
            </w:r>
          </w:p>
        </w:tc>
        <w:tc>
          <w:tcPr>
            <w:tcW w:type="dxa" w:w="1134"/>
          </w:tcPr>
          <w:p>
            <w:pPr>
              <w:spacing w:before="60" w:after="60"/>
            </w:pPr>
            <w:r>
              <w:t>Hoog</w:t>
            </w:r>
          </w:p>
        </w:tc>
        <w:tc>
          <w:tcPr>
            <w:tcW w:type="dxa" w:w="3288"/>
          </w:tcPr>
          <w:p>
            <w:pPr>
              <w:spacing w:before="60" w:after="60"/>
            </w:pPr>
            <w:r>
              <w:t>Cursus en aftekening, daarna op de oproepkaart</w:t>
            </w:r>
          </w:p>
        </w:tc>
      </w:tr>
      <w:tr>
        <w:trPr>
          <w:cantSplit w:val="true"/>
        </w:trPr>
        <w:tc>
          <w:tcPr>
            <w:tcW w:type="dxa" w:w="2608"/>
            <w:shd w:val="clear" w:color="auto" w:fill="F7F0FB"/>
          </w:tcPr>
          <w:p>
            <w:pPr>
              <w:spacing w:before="60" w:after="60"/>
            </w:pPr>
            <w:r>
              <w:rPr>
                <w:b/>
              </w:rPr>
              <w:t>Passagiers bevrijden</w:t>
            </w:r>
          </w:p>
        </w:tc>
        <w:tc>
          <w:tcPr>
            <w:tcW w:type="dxa" w:w="2608"/>
            <w:shd w:val="clear" w:color="auto" w:fill="F7F0FB"/>
          </w:tcPr>
          <w:p>
            <w:pPr>
              <w:spacing w:before="60" w:after="60"/>
            </w:pPr>
            <w:r>
              <w:t>Een fout kan letsel of de dood veroorzaken</w:t>
            </w:r>
          </w:p>
        </w:tc>
        <w:tc>
          <w:tcPr>
            <w:tcW w:type="dxa" w:w="1134"/>
            <w:shd w:val="clear" w:color="auto" w:fill="F7F0FB"/>
          </w:tcPr>
          <w:p>
            <w:pPr>
              <w:spacing w:before="60" w:after="60"/>
            </w:pPr>
            <w:r>
              <w:t>Hoog</w:t>
            </w:r>
          </w:p>
        </w:tc>
        <w:tc>
          <w:tcPr>
            <w:tcW w:type="dxa" w:w="3288"/>
            <w:shd w:val="clear" w:color="auto" w:fill="F7F0FB"/>
          </w:tcPr>
          <w:p>
            <w:pPr>
              <w:spacing w:before="60" w:after="60"/>
            </w:pPr>
            <w:r>
              <w:t>Geoefend op de trainingstoren en afgetekend door de senior monteur; niet alleen via de cursus</w:t>
            </w:r>
          </w:p>
        </w:tc>
      </w:tr>
      <w:tr>
        <w:trPr>
          <w:cantSplit w:val="true"/>
        </w:trPr>
        <w:tc>
          <w:tcPr>
            <w:tcW w:type="dxa" w:w="2608"/>
          </w:tcPr>
          <w:p>
            <w:pPr>
              <w:spacing w:before="60" w:after="60"/>
            </w:pPr>
            <w:r>
              <w:rPr>
                <w:b/>
              </w:rPr>
              <w:t>Vrijschakelen en vergrendelen vóór het werk</w:t>
            </w:r>
          </w:p>
        </w:tc>
        <w:tc>
          <w:tcPr>
            <w:tcW w:type="dxa" w:w="2608"/>
          </w:tcPr>
          <w:p>
            <w:pPr>
              <w:spacing w:before="60" w:after="60"/>
            </w:pPr>
            <w:r>
              <w:t>Een fout kan letsel of de dood veroorzaken</w:t>
            </w:r>
          </w:p>
        </w:tc>
        <w:tc>
          <w:tcPr>
            <w:tcW w:type="dxa" w:w="1134"/>
          </w:tcPr>
          <w:p>
            <w:pPr>
              <w:spacing w:before="60" w:after="60"/>
            </w:pPr>
            <w:r>
              <w:t>Hoog</w:t>
            </w:r>
          </w:p>
        </w:tc>
        <w:tc>
          <w:tcPr>
            <w:tcW w:type="dxa" w:w="3288"/>
          </w:tcPr>
          <w:p>
            <w:pPr>
              <w:spacing w:before="60" w:after="60"/>
            </w:pPr>
            <w:r>
              <w:t>Geoefend en afgetekend, daarna op de oproepkaart met foto van het slot</w:t>
            </w:r>
          </w:p>
        </w:tc>
      </w:tr>
      <w:tr>
        <w:trPr>
          <w:cantSplit w:val="true"/>
        </w:trPr>
        <w:tc>
          <w:tcPr>
            <w:tcW w:type="dxa" w:w="2608"/>
            <w:shd w:val="clear" w:color="auto" w:fill="F7F0FB"/>
          </w:tcPr>
          <w:p>
            <w:pPr>
              <w:spacing w:before="60" w:after="60"/>
            </w:pPr>
            <w:r>
              <w:rPr>
                <w:b/>
              </w:rPr>
              <w:t>Een storingscode lezen en storing 41 doorlopen</w:t>
            </w:r>
          </w:p>
        </w:tc>
        <w:tc>
          <w:tcPr>
            <w:tcW w:type="dxa" w:w="2608"/>
            <w:shd w:val="clear" w:color="auto" w:fill="F7F0FB"/>
          </w:tcPr>
          <w:p>
            <w:pPr>
              <w:spacing w:before="60" w:after="60"/>
            </w:pPr>
            <w:r>
              <w:t>Weeg de gevolgen van diagnose of ingrijpen; een stopregel alleen maakt het niet risicoarm</w:t>
            </w:r>
          </w:p>
        </w:tc>
        <w:tc>
          <w:tcPr>
            <w:tcW w:type="dxa" w:w="1134"/>
            <w:shd w:val="clear" w:color="auto" w:fill="F7F0FB"/>
          </w:tcPr>
          <w:p>
            <w:pPr>
              <w:spacing w:before="60" w:after="60"/>
            </w:pPr>
            <w:r>
              <w:t>Beoordeel risico</w:t>
            </w:r>
          </w:p>
        </w:tc>
        <w:tc>
          <w:tcPr>
            <w:tcW w:type="dxa" w:w="3288"/>
            <w:shd w:val="clear" w:color="auto" w:fill="F7F0FB"/>
          </w:tcPr>
          <w:p>
            <w:pPr>
              <w:spacing w:before="60" w:after="60"/>
            </w:pPr>
            <w:r>
              <w:t>Storingsgids voor storing 41, bij de besturingskast</w:t>
            </w:r>
          </w:p>
        </w:tc>
      </w:tr>
      <w:tr>
        <w:trPr>
          <w:cantSplit w:val="true"/>
        </w:trPr>
        <w:tc>
          <w:tcPr>
            <w:tcW w:type="dxa" w:w="2608"/>
          </w:tcPr>
          <w:p>
            <w:pPr>
              <w:spacing w:before="60" w:after="60"/>
            </w:pPr>
            <w:r>
              <w:rPr>
                <w:b/>
              </w:rPr>
              <w:t>De werkbon afsluiten in de app</w:t>
            </w:r>
          </w:p>
        </w:tc>
        <w:tc>
          <w:tcPr>
            <w:tcW w:type="dxa" w:w="2608"/>
          </w:tcPr>
          <w:p>
            <w:pPr>
              <w:spacing w:before="60" w:after="60"/>
            </w:pPr>
            <w:r>
              <w:t>Traceerbaarheid en vrijgavecontroles</w:t>
            </w:r>
          </w:p>
        </w:tc>
        <w:tc>
          <w:tcPr>
            <w:tcW w:type="dxa" w:w="1134"/>
          </w:tcPr>
          <w:p>
            <w:pPr>
              <w:spacing w:before="60" w:after="60"/>
            </w:pPr>
            <w:r>
              <w:t>Beoordeel risico</w:t>
            </w:r>
          </w:p>
        </w:tc>
        <w:tc>
          <w:tcPr>
            <w:tcW w:type="dxa" w:w="3288"/>
          </w:tcPr>
          <w:p>
            <w:pPr>
              <w:spacing w:before="60" w:after="60"/>
            </w:pPr>
            <w:r>
              <w:t>Oproepkaart en de update van 1 maart</w:t>
            </w:r>
          </w:p>
        </w:tc>
      </w:tr>
    </w:tbl>
    <w:p>
      <w:pPr>
        <w:keepNext/>
        <w:pageBreakBefore/>
        <w:spacing w:before="240" w:after="80"/>
      </w:pPr>
      <w:r>
        <w:rPr>
          <w:b/>
          <w:color w:val="5D008F"/>
          <w:sz w:val="28"/>
        </w:rPr>
        <w:t>Deel 2. De vijf momenten (voorbeeld)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304"/>
            <w:shd w:val="clear" w:color="auto" w:fill="5D008F"/>
          </w:tcPr>
          <w:p>
            <w:pPr>
              <w:spacing w:before="60" w:after="60"/>
            </w:pPr>
            <w:r>
              <w:rPr>
                <w:color w:val="FFFFFF"/>
              </w:rPr>
            </w:r>
            <w:r>
              <w:rPr>
                <w:b/>
                <w:color w:val="FFFFFF"/>
              </w:rPr>
              <w:t>Moment</w:t>
            </w:r>
          </w:p>
        </w:tc>
        <w:tc>
          <w:tcPr>
            <w:tcW w:type="dxa" w:w="2608"/>
            <w:shd w:val="clear" w:color="auto" w:fill="5D008F"/>
          </w:tcPr>
          <w:p>
            <w:pPr>
              <w:spacing w:before="60" w:after="60"/>
            </w:pPr>
            <w:r>
              <w:rPr>
                <w:color w:val="FFFFFF"/>
              </w:rPr>
            </w:r>
            <w:r>
              <w:rPr>
                <w:b/>
                <w:color w:val="FFFFFF"/>
              </w:rPr>
              <w:t>Wat de persoon doet, en waar</w:t>
            </w:r>
          </w:p>
        </w:tc>
        <w:tc>
          <w:tcPr>
            <w:tcW w:type="dxa" w:w="3005"/>
            <w:shd w:val="clear" w:color="auto" w:fill="5D008F"/>
          </w:tcPr>
          <w:p>
            <w:pPr>
              <w:spacing w:before="60" w:after="60"/>
            </w:pPr>
            <w:r>
              <w:rPr>
                <w:color w:val="FFFFFF"/>
              </w:rPr>
            </w:r>
            <w:r>
              <w:rPr>
                <w:b/>
                <w:color w:val="FFFFFF"/>
              </w:rPr>
              <w:t>De ondersteuning</w:t>
            </w:r>
          </w:p>
        </w:tc>
        <w:tc>
          <w:tcPr>
            <w:tcW w:type="dxa" w:w="2721"/>
            <w:shd w:val="clear" w:color="auto" w:fill="5D008F"/>
          </w:tcPr>
          <w:p>
            <w:pPr>
              <w:spacing w:before="60" w:after="60"/>
            </w:pPr>
            <w:r>
              <w:rPr>
                <w:color w:val="FFFFFF"/>
              </w:rPr>
            </w:r>
            <w:r>
              <w:rPr>
                <w:b/>
                <w:color w:val="FFFFFF"/>
              </w:rPr>
              <w:t>Hoe je controleert of het werkt</w:t>
            </w:r>
          </w:p>
        </w:tc>
      </w:tr>
      <w:tr>
        <w:trPr>
          <w:cantSplit w:val="true"/>
        </w:trPr>
        <w:tc>
          <w:tcPr>
            <w:tcW w:type="dxa" w:w="1304"/>
          </w:tcPr>
          <w:p>
            <w:pPr>
              <w:spacing w:before="60" w:after="60"/>
            </w:pPr>
            <w:r>
              <w:rPr>
                <w:b/>
              </w:rPr>
              <w:t>New: het voor het eerst leren</w:t>
            </w:r>
          </w:p>
        </w:tc>
        <w:tc>
          <w:tcPr>
            <w:tcW w:type="dxa" w:w="2608"/>
          </w:tcPr>
          <w:p>
            <w:pPr>
              <w:spacing w:before="60" w:after="60"/>
            </w:pPr>
            <w:r>
              <w:t>Zich voorbereiden op de eerste nacht op het rooster, op het depot en op de trainingstoren</w:t>
            </w:r>
          </w:p>
        </w:tc>
        <w:tc>
          <w:tcPr>
            <w:tcW w:type="dxa" w:w="3005"/>
          </w:tcPr>
          <w:p>
            <w:pPr>
              <w:spacing w:before="60" w:after="60"/>
            </w:pPr>
            <w:r>
              <w:t>Korte cursus over wat een oproep inhoudt en waarom vrijschakelen vóór de diagnose komt; oefenen op de trainingstoren; meelopen bij oproepen tot de monteur heeft laten zien dat die er klaar voor is</w:t>
            </w:r>
          </w:p>
        </w:tc>
        <w:tc>
          <w:tcPr>
            <w:tcW w:type="dxa" w:w="2721"/>
          </w:tcPr>
          <w:p>
            <w:pPr>
              <w:spacing w:before="60" w:after="60"/>
            </w:pPr>
            <w:r>
              <w:t>De senior monteur tekent bevrijding en vrijschakeling af na het meekijken</w:t>
            </w:r>
          </w:p>
        </w:tc>
      </w:tr>
      <w:tr>
        <w:trPr>
          <w:cantSplit w:val="true"/>
        </w:trPr>
        <w:tc>
          <w:tcPr>
            <w:tcW w:type="dxa" w:w="1304"/>
            <w:shd w:val="clear" w:color="auto" w:fill="F7F0FB"/>
          </w:tcPr>
          <w:p>
            <w:pPr>
              <w:spacing w:before="60" w:after="60"/>
            </w:pPr>
            <w:r>
              <w:rPr>
                <w:b/>
              </w:rPr>
              <w:t>More: meer leren als de basis er staat</w:t>
            </w:r>
          </w:p>
        </w:tc>
        <w:tc>
          <w:tcPr>
            <w:tcW w:type="dxa" w:w="2608"/>
            <w:shd w:val="clear" w:color="auto" w:fill="F7F0FB"/>
          </w:tcPr>
          <w:p>
            <w:pPr>
              <w:spacing w:before="60" w:after="60"/>
            </w:pPr>
            <w:r>
              <w:t>Als de monteur eraan toe is en het werk is toegewezen, liften met de tweede besturingsfamilie erbij nemen</w:t>
            </w:r>
          </w:p>
        </w:tc>
        <w:tc>
          <w:tcPr>
            <w:tcW w:type="dxa" w:w="3005"/>
            <w:shd w:val="clear" w:color="auto" w:fill="F7F0FB"/>
          </w:tcPr>
          <w:p>
            <w:pPr>
              <w:spacing w:before="60" w:after="60"/>
            </w:pPr>
            <w:r>
              <w:t>Korte module over de tweede besturingsfamilie en over het lezen van de storingsgeschiedenis van een besturing</w:t>
            </w:r>
          </w:p>
        </w:tc>
        <w:tc>
          <w:tcPr>
            <w:tcW w:type="dxa" w:w="2721"/>
            <w:shd w:val="clear" w:color="auto" w:fill="F7F0FB"/>
          </w:tcPr>
          <w:p>
            <w:pPr>
              <w:spacing w:before="60" w:after="60"/>
            </w:pPr>
            <w:r>
              <w:t>De senior monteur bespreekt tijdens een echte oproep samen met de monteur een storingsgeschiedenis</w:t>
            </w:r>
          </w:p>
        </w:tc>
      </w:tr>
      <w:tr>
        <w:trPr>
          <w:cantSplit w:val="true"/>
        </w:trPr>
        <w:tc>
          <w:tcPr>
            <w:tcW w:type="dxa" w:w="1304"/>
          </w:tcPr>
          <w:p>
            <w:pPr>
              <w:spacing w:before="60" w:after="60"/>
            </w:pPr>
            <w:r>
              <w:rPr>
                <w:b/>
              </w:rPr>
              <w:t>Apply: het werk doen</w:t>
            </w:r>
          </w:p>
        </w:tc>
        <w:tc>
          <w:tcPr>
            <w:tcW w:type="dxa" w:w="2608"/>
          </w:tcPr>
          <w:p>
            <w:pPr>
              <w:spacing w:before="60" w:after="60"/>
            </w:pPr>
            <w:r>
              <w:t>Alleen een oproep afhandelen, vaak 's nachts</w:t>
            </w:r>
          </w:p>
        </w:tc>
        <w:tc>
          <w:tcPr>
            <w:tcW w:type="dxa" w:w="3005"/>
          </w:tcPr>
          <w:p>
            <w:pPr>
              <w:spacing w:before="60" w:after="60"/>
            </w:pPr>
            <w:r>
              <w:t>Oproepkaart van één scherm op de telefoon in vier groepen: Bij aankomst, Vóór het werk, Voordat de lift weer in bedrijf gaat, Bij afsluiting</w:t>
            </w:r>
          </w:p>
        </w:tc>
        <w:tc>
          <w:tcPr>
            <w:tcW w:type="dxa" w:w="2721"/>
          </w:tcPr>
          <w:p>
            <w:pPr>
              <w:spacing w:before="60" w:after="60"/>
            </w:pPr>
            <w:r>
              <w:t>Bij de eerste oproepen controleert de senior monteur of de kaart op elk punt is gebruikt</w:t>
            </w:r>
          </w:p>
        </w:tc>
      </w:tr>
      <w:tr>
        <w:trPr>
          <w:cantSplit w:val="true"/>
        </w:trPr>
        <w:tc>
          <w:tcPr>
            <w:tcW w:type="dxa" w:w="1304"/>
            <w:shd w:val="clear" w:color="auto" w:fill="F7F0FB"/>
          </w:tcPr>
          <w:p>
            <w:pPr>
              <w:spacing w:before="60" w:after="60"/>
            </w:pPr>
            <w:r>
              <w:rPr>
                <w:b/>
              </w:rPr>
              <w:t>Solve: er gaat iets mis</w:t>
            </w:r>
          </w:p>
        </w:tc>
        <w:tc>
          <w:tcPr>
            <w:tcW w:type="dxa" w:w="2608"/>
            <w:shd w:val="clear" w:color="auto" w:fill="F7F0FB"/>
          </w:tcPr>
          <w:p>
            <w:pPr>
              <w:spacing w:before="60" w:after="60"/>
            </w:pPr>
            <w:r>
              <w:t>Bij de besturingskast, met storing 41</w:t>
            </w:r>
          </w:p>
        </w:tc>
        <w:tc>
          <w:tcPr>
            <w:tcW w:type="dxa" w:w="3005"/>
            <w:shd w:val="clear" w:color="auto" w:fill="F7F0FB"/>
          </w:tcPr>
          <w:p>
            <w:pPr>
              <w:spacing w:before="60" w:after="60"/>
            </w:pPr>
            <w:r>
              <w:t>Ja/nee-storingsgids in een vaste volgorde, die eindigt met de lift veilig stellen, buiten bedrijf laten en de senior monteur bellen</w:t>
            </w:r>
          </w:p>
        </w:tc>
        <w:tc>
          <w:tcPr>
            <w:tcW w:type="dxa" w:w="2721"/>
            <w:shd w:val="clear" w:color="auto" w:fill="F7F0FB"/>
          </w:tcPr>
          <w:p>
            <w:pPr>
              <w:spacing w:before="60" w:after="60"/>
            </w:pPr>
            <w:r>
              <w:t>Een bevoegde monteur probeert de gids uit in een gecontroleerde training met een senior beoordelaar</w:t>
            </w:r>
          </w:p>
        </w:tc>
      </w:tr>
      <w:tr>
        <w:trPr>
          <w:cantSplit w:val="true"/>
        </w:trPr>
        <w:tc>
          <w:tcPr>
            <w:tcW w:type="dxa" w:w="1304"/>
          </w:tcPr>
          <w:p>
            <w:pPr>
              <w:spacing w:before="60" w:after="60"/>
            </w:pPr>
            <w:r>
              <w:rPr>
                <w:b/>
              </w:rPr>
              <w:t>Change: anders gaan werken</w:t>
            </w:r>
          </w:p>
        </w:tc>
        <w:tc>
          <w:tcPr>
            <w:tcW w:type="dxa" w:w="2608"/>
          </w:tcPr>
          <w:p>
            <w:pPr>
              <w:spacing w:before="60" w:after="60"/>
            </w:pPr>
            <w:r>
              <w:t>Op de nieuwe manier werken na 1 maart</w:t>
            </w:r>
          </w:p>
        </w:tc>
        <w:tc>
          <w:tcPr>
            <w:tcW w:type="dxa" w:w="3005"/>
          </w:tcPr>
          <w:p>
            <w:pPr>
              <w:spacing w:before="60" w:after="60"/>
            </w:pPr>
            <w:r>
              <w:t>Update van twee minuten: de twee wijzigingen, waarom, de oude manier en de oproepkaart met de gewijzigde stappen gemarkeerd</w:t>
            </w:r>
          </w:p>
        </w:tc>
        <w:tc>
          <w:tcPr>
            <w:tcW w:type="dxa" w:w="2721"/>
          </w:tcPr>
          <w:p>
            <w:pPr>
              <w:spacing w:before="60" w:after="60"/>
            </w:pPr>
            <w:r>
              <w:t>Registraties van de meldkamer laten zien dat de telefoontjes binnenkomen voordat een bevrijding begint; de app laat zien dat klussen zijn afgesloten met een foto van het slot</w:t>
            </w:r>
          </w:p>
        </w:tc>
      </w:tr>
    </w:tbl>
    <w:p>
      <w:pPr>
        <w:keepNext/>
        <w:pageBreakBefore/>
        <w:spacing w:before="240" w:after="80"/>
      </w:pPr>
      <w:r>
        <w:rPr>
          <w:b/>
          <w:color w:val="5D008F"/>
          <w:sz w:val="28"/>
        </w:rPr>
        <w:t>Deel 1. Jouw takenlijst</w:t>
      </w:r>
    </w:p>
    <w:p>
      <w:r>
        <w:t>Werk:</w:t>
      </w:r>
    </w:p>
    <w:p>
      <w:r>
        <w:t>Voor wie het plan is, en wat die mensen al kunnen: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608"/>
            <w:shd w:val="clear" w:color="auto" w:fill="5D008F"/>
          </w:tcPr>
          <w:p>
            <w:pPr>
              <w:spacing w:before="60" w:after="60"/>
            </w:pPr>
            <w:r>
              <w:rPr>
                <w:color w:val="FFFFFF"/>
              </w:rPr>
            </w:r>
            <w:r>
              <w:rPr>
                <w:b/>
                <w:color w:val="FFFFFF"/>
              </w:rPr>
              <w:t>Taak, op volgorde</w:t>
            </w:r>
          </w:p>
        </w:tc>
        <w:tc>
          <w:tcPr>
            <w:tcW w:type="dxa" w:w="2608"/>
            <w:shd w:val="clear" w:color="auto" w:fill="5D008F"/>
          </w:tcPr>
          <w:p>
            <w:pPr>
              <w:spacing w:before="60" w:after="60"/>
            </w:pPr>
            <w:r>
              <w:rPr>
                <w:color w:val="FFFFFF"/>
              </w:rPr>
            </w:r>
            <w:r>
              <w:rPr>
                <w:b/>
                <w:color w:val="FFFFFF"/>
              </w:rPr>
              <w:t>Wat een fout zou kosten</w:t>
            </w:r>
          </w:p>
        </w:tc>
        <w:tc>
          <w:tcPr>
            <w:tcW w:type="dxa" w:w="1134"/>
            <w:shd w:val="clear" w:color="auto" w:fill="5D008F"/>
          </w:tcPr>
          <w:p>
            <w:pPr>
              <w:spacing w:before="60" w:after="60"/>
            </w:pPr>
            <w:r>
              <w:rPr>
                <w:color w:val="FFFFFF"/>
              </w:rPr>
            </w:r>
            <w:r>
              <w:rPr>
                <w:b/>
                <w:color w:val="FFFFFF"/>
              </w:rPr>
              <w:t>Hoog of laag</w:t>
            </w:r>
          </w:p>
        </w:tc>
        <w:tc>
          <w:tcPr>
            <w:tcW w:type="dxa" w:w="3288"/>
            <w:shd w:val="clear" w:color="auto" w:fill="5D008F"/>
          </w:tcPr>
          <w:p>
            <w:pPr>
              <w:spacing w:before="60" w:after="60"/>
            </w:pPr>
            <w:r>
              <w:rPr>
                <w:color w:val="FFFFFF"/>
              </w:rPr>
            </w:r>
            <w:r>
              <w:rPr>
                <w:b/>
                <w:color w:val="FFFFFF"/>
              </w:rPr>
              <w:t>Waar het thuishoort</w:t>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bl>
    <w:p>
      <w:pPr>
        <w:keepNext/>
        <w:pageBreakBefore/>
        <w:spacing w:before="240" w:after="80"/>
      </w:pPr>
      <w:r>
        <w:rPr>
          <w:b/>
          <w:color w:val="5D008F"/>
          <w:sz w:val="28"/>
        </w:rPr>
        <w:t>Deel 2. Jouw vijf momenten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304"/>
            <w:shd w:val="clear" w:color="auto" w:fill="5D008F"/>
          </w:tcPr>
          <w:p>
            <w:pPr>
              <w:spacing w:before="60" w:after="60"/>
            </w:pPr>
            <w:r>
              <w:rPr>
                <w:color w:val="FFFFFF"/>
              </w:rPr>
            </w:r>
            <w:r>
              <w:rPr>
                <w:b/>
                <w:color w:val="FFFFFF"/>
              </w:rPr>
              <w:t>Moment</w:t>
            </w:r>
          </w:p>
        </w:tc>
        <w:tc>
          <w:tcPr>
            <w:tcW w:type="dxa" w:w="2608"/>
            <w:shd w:val="clear" w:color="auto" w:fill="5D008F"/>
          </w:tcPr>
          <w:p>
            <w:pPr>
              <w:spacing w:before="60" w:after="60"/>
            </w:pPr>
            <w:r>
              <w:rPr>
                <w:color w:val="FFFFFF"/>
              </w:rPr>
            </w:r>
            <w:r>
              <w:rPr>
                <w:b/>
                <w:color w:val="FFFFFF"/>
              </w:rPr>
              <w:t>Wat de persoon doet, en waar</w:t>
            </w:r>
          </w:p>
        </w:tc>
        <w:tc>
          <w:tcPr>
            <w:tcW w:type="dxa" w:w="3005"/>
            <w:shd w:val="clear" w:color="auto" w:fill="5D008F"/>
          </w:tcPr>
          <w:p>
            <w:pPr>
              <w:spacing w:before="60" w:after="60"/>
            </w:pPr>
            <w:r>
              <w:rPr>
                <w:color w:val="FFFFFF"/>
              </w:rPr>
            </w:r>
            <w:r>
              <w:rPr>
                <w:b/>
                <w:color w:val="FFFFFF"/>
              </w:rPr>
              <w:t>De ondersteuning</w:t>
            </w:r>
          </w:p>
        </w:tc>
        <w:tc>
          <w:tcPr>
            <w:tcW w:type="dxa" w:w="2721"/>
            <w:shd w:val="clear" w:color="auto" w:fill="5D008F"/>
          </w:tcPr>
          <w:p>
            <w:pPr>
              <w:spacing w:before="60" w:after="60"/>
            </w:pPr>
            <w:r>
              <w:rPr>
                <w:color w:val="FFFFFF"/>
              </w:rPr>
            </w:r>
            <w:r>
              <w:rPr>
                <w:b/>
                <w:color w:val="FFFFFF"/>
              </w:rPr>
              <w:t>Hoe je controleert of het werkt</w:t>
            </w:r>
          </w:p>
        </w:tc>
      </w:tr>
      <w:tr>
        <w:trPr>
          <w:cantSplit w:val="true"/>
          <w:trHeight w:val="1701"/>
        </w:trPr>
        <w:tc>
          <w:tcPr>
            <w:tcW w:type="dxa" w:w="1304"/>
          </w:tcPr>
          <w:p>
            <w:pPr>
              <w:spacing w:before="60" w:after="60"/>
            </w:pPr>
            <w:r>
              <w:rPr>
                <w:b/>
              </w:rPr>
              <w:t>New</w:t>
            </w:r>
          </w:p>
        </w:tc>
        <w:tc>
          <w:tcPr>
            <w:tcW w:type="dxa" w:w="2608"/>
          </w:tcPr>
          <w:p>
            <w:pPr>
              <w:spacing w:before="60" w:after="60"/>
            </w:pPr>
            <w:r/>
          </w:p>
        </w:tc>
        <w:tc>
          <w:tcPr>
            <w:tcW w:type="dxa" w:w="3005"/>
          </w:tcPr>
          <w:p>
            <w:pPr>
              <w:spacing w:before="60" w:after="60"/>
            </w:pPr>
            <w:r/>
          </w:p>
        </w:tc>
        <w:tc>
          <w:tcPr>
            <w:tcW w:type="dxa" w:w="2721"/>
          </w:tcPr>
          <w:p>
            <w:pPr>
              <w:spacing w:before="60" w:after="60"/>
            </w:pPr>
            <w:r/>
          </w:p>
        </w:tc>
      </w:tr>
      <w:tr>
        <w:trPr>
          <w:cantSplit w:val="true"/>
          <w:trHeight w:val="1701"/>
        </w:trPr>
        <w:tc>
          <w:tcPr>
            <w:tcW w:type="dxa" w:w="1304"/>
            <w:shd w:val="clear" w:color="auto" w:fill="F7F0FB"/>
          </w:tcPr>
          <w:p>
            <w:pPr>
              <w:spacing w:before="60" w:after="60"/>
            </w:pPr>
            <w:r>
              <w:rPr>
                <w:b/>
              </w:rPr>
              <w:t>More</w:t>
            </w:r>
          </w:p>
        </w:tc>
        <w:tc>
          <w:tcPr>
            <w:tcW w:type="dxa" w:w="2608"/>
            <w:shd w:val="clear" w:color="auto" w:fill="F7F0FB"/>
          </w:tcPr>
          <w:p>
            <w:pPr>
              <w:spacing w:before="60" w:after="60"/>
            </w:pPr>
            <w:r/>
          </w:p>
        </w:tc>
        <w:tc>
          <w:tcPr>
            <w:tcW w:type="dxa" w:w="3005"/>
            <w:shd w:val="clear" w:color="auto" w:fill="F7F0FB"/>
          </w:tcPr>
          <w:p>
            <w:pPr>
              <w:spacing w:before="60" w:after="60"/>
            </w:pPr>
            <w:r/>
          </w:p>
        </w:tc>
        <w:tc>
          <w:tcPr>
            <w:tcW w:type="dxa" w:w="2721"/>
            <w:shd w:val="clear" w:color="auto" w:fill="F7F0FB"/>
          </w:tcPr>
          <w:p>
            <w:pPr>
              <w:spacing w:before="60" w:after="60"/>
            </w:pPr>
            <w:r/>
          </w:p>
        </w:tc>
      </w:tr>
      <w:tr>
        <w:trPr>
          <w:cantSplit w:val="true"/>
          <w:trHeight w:val="1701"/>
        </w:trPr>
        <w:tc>
          <w:tcPr>
            <w:tcW w:type="dxa" w:w="1304"/>
          </w:tcPr>
          <w:p>
            <w:pPr>
              <w:spacing w:before="60" w:after="60"/>
            </w:pPr>
            <w:r>
              <w:rPr>
                <w:b/>
              </w:rPr>
              <w:t>Apply</w:t>
            </w:r>
          </w:p>
        </w:tc>
        <w:tc>
          <w:tcPr>
            <w:tcW w:type="dxa" w:w="2608"/>
          </w:tcPr>
          <w:p>
            <w:pPr>
              <w:spacing w:before="60" w:after="60"/>
            </w:pPr>
            <w:r/>
          </w:p>
        </w:tc>
        <w:tc>
          <w:tcPr>
            <w:tcW w:type="dxa" w:w="3005"/>
          </w:tcPr>
          <w:p>
            <w:pPr>
              <w:spacing w:before="60" w:after="60"/>
            </w:pPr>
            <w:r/>
          </w:p>
        </w:tc>
        <w:tc>
          <w:tcPr>
            <w:tcW w:type="dxa" w:w="2721"/>
          </w:tcPr>
          <w:p>
            <w:pPr>
              <w:spacing w:before="60" w:after="60"/>
            </w:pPr>
            <w:r/>
          </w:p>
        </w:tc>
      </w:tr>
      <w:tr>
        <w:trPr>
          <w:cantSplit w:val="true"/>
          <w:trHeight w:val="1701"/>
        </w:trPr>
        <w:tc>
          <w:tcPr>
            <w:tcW w:type="dxa" w:w="1304"/>
            <w:shd w:val="clear" w:color="auto" w:fill="F7F0FB"/>
          </w:tcPr>
          <w:p>
            <w:pPr>
              <w:spacing w:before="60" w:after="60"/>
            </w:pPr>
            <w:r>
              <w:rPr>
                <w:b/>
              </w:rPr>
              <w:t>Solve</w:t>
            </w:r>
          </w:p>
        </w:tc>
        <w:tc>
          <w:tcPr>
            <w:tcW w:type="dxa" w:w="2608"/>
            <w:shd w:val="clear" w:color="auto" w:fill="F7F0FB"/>
          </w:tcPr>
          <w:p>
            <w:pPr>
              <w:spacing w:before="60" w:after="60"/>
            </w:pPr>
            <w:r/>
          </w:p>
        </w:tc>
        <w:tc>
          <w:tcPr>
            <w:tcW w:type="dxa" w:w="3005"/>
            <w:shd w:val="clear" w:color="auto" w:fill="F7F0FB"/>
          </w:tcPr>
          <w:p>
            <w:pPr>
              <w:spacing w:before="60" w:after="60"/>
            </w:pPr>
            <w:r/>
          </w:p>
        </w:tc>
        <w:tc>
          <w:tcPr>
            <w:tcW w:type="dxa" w:w="2721"/>
            <w:shd w:val="clear" w:color="auto" w:fill="F7F0FB"/>
          </w:tcPr>
          <w:p>
            <w:pPr>
              <w:spacing w:before="60" w:after="60"/>
            </w:pPr>
            <w:r/>
          </w:p>
        </w:tc>
      </w:tr>
      <w:tr>
        <w:trPr>
          <w:cantSplit w:val="true"/>
          <w:trHeight w:val="1701"/>
        </w:trPr>
        <w:tc>
          <w:tcPr>
            <w:tcW w:type="dxa" w:w="1304"/>
          </w:tcPr>
          <w:p>
            <w:pPr>
              <w:spacing w:before="60" w:after="60"/>
            </w:pPr>
            <w:r>
              <w:rPr>
                <w:b/>
              </w:rPr>
              <w:t>Change</w:t>
            </w:r>
          </w:p>
        </w:tc>
        <w:tc>
          <w:tcPr>
            <w:tcW w:type="dxa" w:w="2608"/>
          </w:tcPr>
          <w:p>
            <w:pPr>
              <w:spacing w:before="60" w:after="60"/>
            </w:pPr>
            <w:r/>
          </w:p>
        </w:tc>
        <w:tc>
          <w:tcPr>
            <w:tcW w:type="dxa" w:w="3005"/>
          </w:tcPr>
          <w:p>
            <w:pPr>
              <w:spacing w:before="60" w:after="60"/>
            </w:pPr>
            <w:r/>
          </w:p>
        </w:tc>
        <w:tc>
          <w:tcPr>
            <w:tcW w:type="dxa" w:w="2721"/>
          </w:tcPr>
          <w:p>
            <w:pPr>
              <w:spacing w:before="60" w:after="60"/>
            </w:pPr>
            <w:r/>
          </w:p>
        </w:tc>
      </w:tr>
    </w:tbl>
    <w:p>
      <w:pPr>
        <w:spacing w:before="160"/>
      </w:pPr>
      <w:r>
        <w:rPr>
          <w:i/>
          <w:color w:val="5A5766"/>
        </w:rPr>
        <w:t>Geen score. Een ingevuld blad is een plan, geen bewijs dat de hulp werkt. Controleer dat door te kijken hoe mensen de hulp in het werk gebruiken.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sjabloon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