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 xml:space="preserve">課題先行型コースプランナー</w:t>
      </w:r>
    </w:p>
    <w:p>
      <w:r>
        <w:rPr>
          <w:color w:val="5A5766"/>
          <w:sz w:val="22"/>
        </w:rPr>
        <w:t xml:space="preserve">学習者が説明の前に現実的な課題に取り組み、次に解き方の例から学び、徐々に減らす支援を受けながら練習し、互いの考え方を比較して、最後に新しい事例を自力で判断する構成主義型モジュールを計画します。認知的徒弟制(Collins、Brown、Newman、1989年)、問題基盤型学習(Savery、2006年)、指導前の問題解決(Sinha、Kapur、2021年)をもとにした、Courseboxの独自の応用です。計画のための補助ツールであり、検証済みの測定尺度ではないため、スコアは出ません。例として、架空の買掛金管理コースを記入しています。</w:t>
      </w:r>
    </w:p>
    <w:p>
      <w:r>
        <w:rPr>
          <w:i/>
          <w:color w:val="5A5766"/>
          <w:sz w:val="18"/>
        </w:rPr>
        <w:t xml:space="preserve">Coursebox ブログより: coursebox.ai/blog/constructivism-learning-theory-and-its-elearning-application</w:t>
      </w:r>
    </w:p>
    <w:p>
      <w:pPr>
        <w:keepNext/>
        <w:spacing w:before="240" w:after="80"/>
      </w:pPr>
      <w:r>
        <w:rPr>
          <w:b/>
          <w:color w:val="5D008F"/>
          <w:sz w:val="28"/>
        </w:rPr>
        <w:t xml:space="preserve">このプランナーの使い方</w:t>
      </w:r>
    </w:p>
    <w:p>
      <w:pPr>
        <w:pStyle w:val="ListBullet"/>
      </w:pPr>
      <w:r>
        <w:t xml:space="preserve">テーマからではなく、学習者が仕事で判断を誤る場面から始めます。それを課題として書きます。</w:t>
      </w:r>
    </w:p>
    <w:p>
      <w:pPr>
        <w:pStyle w:val="ListBullet"/>
      </w:pPr>
      <w:r>
        <w:t xml:space="preserve">学習者が判断するために必要なものをすべて挙げます。目にする書類、確認すべき記録、決め手となるルールです。これがケースパックです。</w:t>
      </w:r>
    </w:p>
    <w:p>
      <w:pPr>
        <w:pStyle w:val="ListBullet"/>
      </w:pPr>
      <w:r>
        <w:t xml:space="preserve">学習者がすでに知っていることを確認します。尋ねる、テストする、成果物を見るなどし、職種から決めつけないでください。</w:t>
      </w:r>
    </w:p>
    <w:p>
      <w:pPr>
        <w:pStyle w:val="ListBullet"/>
      </w:pPr>
      <w:r>
        <w:t xml:space="preserve">順序を計画します。最初の挑戦、解き方の例、支援付きの練習、比較、自分のツール作り、新しい事例、短いまとめの順です。</w:t>
      </w:r>
    </w:p>
    <w:p>
      <w:pPr>
        <w:pStyle w:val="ListBullet"/>
      </w:pPr>
      <w:r>
        <w:t xml:space="preserve">各ステップで支援レベル(全面、一部、軽め、なし)を決め、どんな支援が使えるかを具体的に書きます。支援は、ページが進むにつれて機械的に減らすのではなく、学習者の力がついたことに合わせて減らします。</w:t>
      </w:r>
    </w:p>
    <w:p>
      <w:pPr>
        <w:pStyle w:val="ListBullet"/>
      </w:pPr>
      <w:r>
        <w:t xml:space="preserve">コンテンツを書く前に、新しい事例の評価課題と評価基準を作成します。事実確認の問題とあわせて、考え方が見える回答形式を選びます。</w:t>
      </w:r>
    </w:p>
    <w:p>
      <w:pPr>
        <w:keepNext/>
        <w:pageBreakBefore/>
        <w:spacing w:before="240" w:after="80"/>
      </w:pPr>
      <w:r>
        <w:rPr>
          <w:b/>
          <w:color w:val="5D008F"/>
          <w:sz w:val="28"/>
        </w:rPr>
        <w:t xml:space="preserve">解き方の例: 課題とケースパック</w:t>
      </w:r>
    </w:p>
    <w:p>
      <w:r>
        <w:t xml:space="preserve">架空の例です。中堅の製造会社が、入社3か月以内の買掛金担当者向けに、所要40分の自習型コース「保留、確認、支払いのどれか」を作成しています。</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項目</w:t>
            </w:r>
          </w:p>
        </w:tc>
        <w:tc>
          <w:tcPr>
            <w:tcW w:type="dxa" w:w="7087"/>
            <w:shd w:val="clear" w:color="auto" w:fill="5D008F"/>
          </w:tcPr>
          <w:p>
            <w:pPr>
              <w:spacing w:before="60" w:after="60"/>
            </w:pPr>
            <w:r/>
            <w:r>
              <w:rPr>
                <w:b/>
                <w:color w:val="FFFFFF"/>
              </w:rPr>
              <w:t xml:space="preserve">買掛金コース</w:t>
            </w:r>
          </w:p>
        </w:tc>
      </w:tr>
      <w:tr>
        <w:trPr>
          <w:cantSplit w:val="true"/>
        </w:trPr>
        <w:tc>
          <w:tcPr>
            <w:tcW w:type="dxa" w:w="2551"/>
          </w:tcPr>
          <w:p>
            <w:pPr>
              <w:spacing w:before="60" w:after="60"/>
            </w:pPr>
            <w:r>
              <w:rPr>
                <w:b/>
              </w:rPr>
              <w:t xml:space="preserve">学習者が判断を誤る場面</w:t>
            </w:r>
          </w:p>
        </w:tc>
        <w:tc>
          <w:tcPr>
            <w:tcW w:type="dxa" w:w="7087"/>
          </w:tcPr>
          <w:p>
            <w:pPr>
              <w:spacing w:before="60" w:after="60"/>
            </w:pPr>
            <w:r>
              <w:t xml:space="preserve">取引先から銀行口座の変更依頼が届いたときに、口座情報を更新するかどうか、また次の支払いをどうするか。</w:t>
            </w:r>
          </w:p>
        </w:tc>
      </w:tr>
      <w:tr>
        <w:trPr>
          <w:cantSplit w:val="true"/>
        </w:trPr>
        <w:tc>
          <w:tcPr>
            <w:tcW w:type="dxa" w:w="2551"/>
            <w:shd w:val="clear" w:color="auto" w:fill="F7F0FB"/>
          </w:tcPr>
          <w:p>
            <w:pPr>
              <w:spacing w:before="60" w:after="60"/>
            </w:pPr>
            <w:r>
              <w:rPr>
                <w:b/>
              </w:rPr>
              <w:t xml:space="preserve">課題</w:t>
            </w:r>
          </w:p>
        </w:tc>
        <w:tc>
          <w:tcPr>
            <w:tcW w:type="dxa" w:w="7087"/>
            <w:shd w:val="clear" w:color="auto" w:fill="F7F0FB"/>
          </w:tcPr>
          <w:p>
            <w:pPr>
              <w:spacing w:before="60" w:after="60"/>
            </w:pPr>
            <w:r>
              <w:t xml:space="preserve">火曜日、週次の支払い処理の2日前に、長年の取引先である梱包資材会社のいつもの担当者から、「取引先が銀行を変更した」ため「今週分以降のすべての支払い」の口座を変更してほしいというメールが届きます。木曜日の支払い処理には48,600ドルの請求書が含まれています。送信元のドメインは、普段のものと1文字だけ違います。</w:t>
            </w:r>
          </w:p>
        </w:tc>
      </w:tr>
      <w:tr>
        <w:trPr>
          <w:cantSplit w:val="true"/>
        </w:trPr>
        <w:tc>
          <w:tcPr>
            <w:tcW w:type="dxa" w:w="2551"/>
          </w:tcPr>
          <w:p>
            <w:pPr>
              <w:spacing w:before="60" w:after="60"/>
            </w:pPr>
            <w:r>
              <w:rPr>
                <w:b/>
              </w:rPr>
              <w:t xml:space="preserve">ケースパック</w:t>
            </w:r>
          </w:p>
        </w:tc>
        <w:tc>
          <w:tcPr>
            <w:tcW w:type="dxa" w:w="7087"/>
          </w:tcPr>
          <w:p>
            <w:pPr>
              <w:spacing w:before="60" w:after="60"/>
            </w:pPr>
            <w:r>
              <w:t xml:space="preserve">そのメール、新しい口座情報が記載されたレターヘッド付きの書面、取引先マスタの記録(銀行情報、登録済みの電話番号、4年間変更なし)、支払い処理のスケジュール、手順書。</w:t>
            </w:r>
          </w:p>
        </w:tc>
      </w:tr>
      <w:tr>
        <w:trPr>
          <w:cantSplit w:val="true"/>
        </w:trPr>
        <w:tc>
          <w:tcPr>
            <w:tcW w:type="dxa" w:w="2551"/>
            <w:shd w:val="clear" w:color="auto" w:fill="F7F0FB"/>
          </w:tcPr>
          <w:p>
            <w:pPr>
              <w:spacing w:before="60" w:after="60"/>
            </w:pPr>
            <w:r>
              <w:rPr>
                <w:b/>
              </w:rPr>
              <w:t xml:space="preserve">決め手となるルール</w:t>
            </w:r>
          </w:p>
        </w:tc>
        <w:tc>
          <w:tcPr>
            <w:tcW w:type="dxa" w:w="7087"/>
            <w:shd w:val="clear" w:color="auto" w:fill="F7F0FB"/>
          </w:tcPr>
          <w:p>
            <w:pPr>
              <w:spacing w:before="60" w:after="60"/>
            </w:pPr>
            <w:r>
              <w:t xml:space="preserve">口座情報の変更は、依頼書に書かれた番号ではなく、すでに登録されている番号に電話して取引先に確認し、次の支払いの前に2人目の担当者の承認を得ます。</w:t>
            </w:r>
          </w:p>
        </w:tc>
      </w:tr>
      <w:tr>
        <w:trPr>
          <w:cantSplit w:val="true"/>
        </w:trPr>
        <w:tc>
          <w:tcPr>
            <w:tcW w:type="dxa" w:w="2551"/>
          </w:tcPr>
          <w:p>
            <w:pPr>
              <w:spacing w:before="60" w:after="60"/>
            </w:pPr>
            <w:r>
              <w:rPr>
                <w:b/>
              </w:rPr>
              <w:t xml:space="preserve">期待する成果</w:t>
            </w:r>
          </w:p>
        </w:tc>
        <w:tc>
          <w:tcPr>
            <w:tcW w:type="dxa" w:w="7087"/>
          </w:tcPr>
          <w:p>
            <w:pPr>
              <w:spacing w:before="60" w:after="60"/>
            </w:pPr>
            <w:r>
              <w:t xml:space="preserve">担当者が、取引先マスタの記録と手順書に照らして変更依頼を判断し、保留、確認、支払いのどれかを選び、その理由を文章で説明し、次の依頼に備えた自分用の確認項目を作成できる。</w:t>
            </w:r>
          </w:p>
        </w:tc>
      </w:tr>
    </w:tbl>
    <w:p>
      <w:pPr>
        <w:keepNext/>
        <w:spacing w:before="240" w:after="80"/>
      </w:pPr>
      <w:r>
        <w:rPr>
          <w:b/>
          <w:color w:val="5D008F"/>
          <w:sz w:val="28"/>
        </w:rPr>
        <w:t xml:space="preserve">解き方の例: 学習者がすでに知っていること</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 xml:space="preserve">質問</w:t>
            </w:r>
          </w:p>
        </w:tc>
        <w:tc>
          <w:tcPr>
            <w:tcW w:type="dxa" w:w="6236"/>
            <w:shd w:val="clear" w:color="auto" w:fill="5D008F"/>
          </w:tcPr>
          <w:p>
            <w:pPr>
              <w:spacing w:before="60" w:after="60"/>
            </w:pPr>
            <w:r/>
            <w:r>
              <w:rPr>
                <w:b/>
                <w:color w:val="FFFFFF"/>
              </w:rPr>
              <w:t xml:space="preserve">買掛金コース</w:t>
            </w:r>
          </w:p>
        </w:tc>
      </w:tr>
      <w:tr>
        <w:trPr>
          <w:cantSplit w:val="true"/>
        </w:trPr>
        <w:tc>
          <w:tcPr>
            <w:tcW w:type="dxa" w:w="3402"/>
          </w:tcPr>
          <w:p>
            <w:pPr>
              <w:spacing w:before="60" w:after="60"/>
            </w:pPr>
            <w:r>
              <w:rPr>
                <w:b/>
              </w:rPr>
              <w:t xml:space="preserve">すでにできることは何ですか。</w:t>
            </w:r>
          </w:p>
        </w:tc>
        <w:tc>
          <w:tcPr>
            <w:tcW w:type="dxa" w:w="6236"/>
          </w:tcPr>
          <w:p>
            <w:pPr>
              <w:spacing w:before="60" w:after="60"/>
            </w:pPr>
            <w:r>
              <w:t xml:space="preserve">経理システムで請求書を入力し、週次の支払い処理を実行する。</w:t>
            </w:r>
          </w:p>
        </w:tc>
      </w:tr>
      <w:tr>
        <w:trPr>
          <w:cantSplit w:val="true"/>
        </w:trPr>
        <w:tc>
          <w:tcPr>
            <w:tcW w:type="dxa" w:w="3402"/>
            <w:shd w:val="clear" w:color="auto" w:fill="F7F0FB"/>
          </w:tcPr>
          <w:p>
            <w:pPr>
              <w:spacing w:before="60" w:after="60"/>
            </w:pPr>
            <w:r>
              <w:rPr>
                <w:b/>
              </w:rPr>
              <w:t xml:space="preserve">まだ経験していないことは何ですか。</w:t>
            </w:r>
          </w:p>
        </w:tc>
        <w:tc>
          <w:tcPr>
            <w:tcW w:type="dxa" w:w="6236"/>
            <w:shd w:val="clear" w:color="auto" w:fill="F7F0FB"/>
          </w:tcPr>
          <w:p>
            <w:pPr>
              <w:spacing w:before="60" w:after="60"/>
            </w:pPr>
            <w:r>
              <w:t xml:space="preserve">口座情報の変更依頼への対応、または確認手順書を読むこと。</w:t>
            </w:r>
          </w:p>
        </w:tc>
      </w:tr>
      <w:tr>
        <w:trPr>
          <w:cantSplit w:val="true"/>
        </w:trPr>
        <w:tc>
          <w:tcPr>
            <w:tcW w:type="dxa" w:w="3402"/>
          </w:tcPr>
          <w:p>
            <w:pPr>
              <w:spacing w:before="60" w:after="60"/>
            </w:pPr>
            <w:r>
              <w:rPr>
                <w:b/>
              </w:rPr>
              <w:t xml:space="preserve">どんな思い込みがありそうですか。</w:t>
            </w:r>
          </w:p>
        </w:tc>
        <w:tc>
          <w:tcPr>
            <w:tcW w:type="dxa" w:w="6236"/>
          </w:tcPr>
          <w:p>
            <w:pPr>
              <w:spacing w:before="60" w:after="60"/>
            </w:pPr>
            <w:r>
              <w:t xml:space="preserve">いつもの担当者からの依頼は安全だと思っている。最初の自由記述の回答で、この思い込みが裏づけられるか修正されるかがわかる。</w:t>
            </w:r>
          </w:p>
        </w:tc>
      </w:tr>
      <w:tr>
        <w:trPr>
          <w:cantSplit w:val="true"/>
        </w:trPr>
        <w:tc>
          <w:tcPr>
            <w:tcW w:type="dxa" w:w="3402"/>
            <w:shd w:val="clear" w:color="auto" w:fill="F7F0FB"/>
          </w:tcPr>
          <w:p>
            <w:pPr>
              <w:spacing w:before="60" w:after="60"/>
            </w:pPr>
            <w:r>
              <w:rPr>
                <w:b/>
              </w:rPr>
              <w:t xml:space="preserve">どのように確認しましたか。</w:t>
            </w:r>
          </w:p>
        </w:tc>
        <w:tc>
          <w:tcPr>
            <w:tcW w:type="dxa" w:w="6236"/>
            <w:shd w:val="clear" w:color="auto" w:fill="F7F0FB"/>
          </w:tcPr>
          <w:p>
            <w:pPr>
              <w:spacing w:before="60" w:after="60"/>
            </w:pPr>
            <w:r>
              <w:t xml:space="preserve">コースを作成する前に、似た依頼についての自由記述の質問1問に対する、新人担当者の回答を一部抽出して確認した。</w:t>
            </w:r>
          </w:p>
        </w:tc>
      </w:tr>
    </w:tbl>
    <w:p>
      <w:pPr>
        <w:keepNext/>
        <w:pageBreakBefore/>
        <w:spacing w:before="240" w:after="80"/>
      </w:pPr>
      <w:r>
        <w:rPr>
          <w:b/>
          <w:color w:val="5D008F"/>
          <w:sz w:val="28"/>
        </w:rPr>
        <w:t xml:space="preserve">解き方の例: 流れと各ステップでの支援</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 xml:space="preserve">ステップ</w:t>
            </w:r>
          </w:p>
        </w:tc>
        <w:tc>
          <w:tcPr>
            <w:tcW w:type="dxa" w:w="2835"/>
            <w:shd w:val="clear" w:color="auto" w:fill="5D008F"/>
          </w:tcPr>
          <w:p>
            <w:pPr>
              <w:spacing w:before="60" w:after="60"/>
            </w:pPr>
            <w:r/>
            <w:r>
              <w:rPr>
                <w:b/>
                <w:color w:val="FFFFFF"/>
              </w:rPr>
              <w:t xml:space="preserve">学習者の行動</w:t>
            </w:r>
          </w:p>
        </w:tc>
        <w:tc>
          <w:tcPr>
            <w:tcW w:type="dxa" w:w="1247"/>
            <w:shd w:val="clear" w:color="auto" w:fill="5D008F"/>
          </w:tcPr>
          <w:p>
            <w:pPr>
              <w:spacing w:before="60" w:after="60"/>
            </w:pPr>
            <w:r/>
            <w:r>
              <w:rPr>
                <w:b/>
                <w:color w:val="FFFFFF"/>
              </w:rPr>
              <w:t xml:space="preserve">支援レベル</w:t>
            </w:r>
          </w:p>
        </w:tc>
        <w:tc>
          <w:tcPr>
            <w:tcW w:type="dxa" w:w="2268"/>
            <w:shd w:val="clear" w:color="auto" w:fill="5D008F"/>
          </w:tcPr>
          <w:p>
            <w:pPr>
              <w:spacing w:before="60" w:after="60"/>
            </w:pPr>
            <w:r/>
            <w:r>
              <w:rPr>
                <w:b/>
                <w:color w:val="FFFFFF"/>
              </w:rPr>
              <w:t xml:space="preserve">使える支援</w:t>
            </w:r>
          </w:p>
        </w:tc>
        <w:tc>
          <w:tcPr>
            <w:tcW w:type="dxa" w:w="1701"/>
            <w:shd w:val="clear" w:color="auto" w:fill="5D008F"/>
          </w:tcPr>
          <w:p>
            <w:pPr>
              <w:spacing w:before="60" w:after="60"/>
            </w:pPr>
            <w:r/>
            <w:r>
              <w:rPr>
                <w:b/>
                <w:color w:val="FFFFFF"/>
              </w:rPr>
              <w:t xml:space="preserve">手法</w:t>
            </w:r>
          </w:p>
        </w:tc>
      </w:tr>
      <w:tr>
        <w:trPr>
          <w:cantSplit w:val="true"/>
        </w:trPr>
        <w:tc>
          <w:tcPr>
            <w:tcW w:type="dxa" w:w="1587"/>
          </w:tcPr>
          <w:p>
            <w:pPr>
              <w:spacing w:before="60" w:after="60"/>
            </w:pPr>
            <w:r>
              <w:rPr>
                <w:b/>
              </w:rPr>
              <w:t xml:space="preserve">開始前</w:t>
            </w:r>
          </w:p>
        </w:tc>
        <w:tc>
          <w:tcPr>
            <w:tcW w:type="dxa" w:w="2835"/>
          </w:tcPr>
          <w:p>
            <w:pPr>
              <w:spacing w:before="60" w:after="60"/>
            </w:pPr>
            <w:r>
              <w:t xml:space="preserve">コースの内容とケースパックを確認する</w:t>
            </w:r>
          </w:p>
        </w:tc>
        <w:tc>
          <w:tcPr>
            <w:tcW w:type="dxa" w:w="1247"/>
          </w:tcPr>
          <w:p>
            <w:pPr>
              <w:spacing w:before="60" w:after="60"/>
            </w:pPr>
            <w:r>
              <w:t xml:space="preserve">軽め</w:t>
            </w:r>
          </w:p>
        </w:tc>
        <w:tc>
          <w:tcPr>
            <w:tcW w:type="dxa" w:w="2268"/>
          </w:tcPr>
          <w:p>
            <w:pPr>
              <w:spacing w:before="60" w:after="60"/>
            </w:pPr>
            <w:r>
              <w:t xml:space="preserve">短い概要のみ。手順や不正に関する説明はまだしない</w:t>
            </w:r>
          </w:p>
        </w:tc>
        <w:tc>
          <w:tcPr>
            <w:tcW w:type="dxa" w:w="1701"/>
          </w:tcPr>
          <w:p>
            <w:pPr>
              <w:spacing w:before="60" w:after="60"/>
            </w:pPr>
            <w:r>
              <w:t xml:space="preserve">問題基盤型学習</w:t>
            </w:r>
          </w:p>
        </w:tc>
      </w:tr>
      <w:tr>
        <w:trPr>
          <w:cantSplit w:val="true"/>
        </w:trPr>
        <w:tc>
          <w:tcPr>
            <w:tcW w:type="dxa" w:w="1587"/>
            <w:shd w:val="clear" w:color="auto" w:fill="F7F0FB"/>
          </w:tcPr>
          <w:p>
            <w:pPr>
              <w:spacing w:before="60" w:after="60"/>
            </w:pPr>
            <w:r>
              <w:rPr>
                <w:b/>
              </w:rPr>
              <w:t xml:space="preserve">最初の判断</w:t>
            </w:r>
          </w:p>
        </w:tc>
        <w:tc>
          <w:tcPr>
            <w:tcW w:type="dxa" w:w="2835"/>
            <w:shd w:val="clear" w:color="auto" w:fill="F7F0FB"/>
          </w:tcPr>
          <w:p>
            <w:pPr>
              <w:spacing w:before="60" w:after="60"/>
            </w:pPr>
            <w:r>
              <w:t xml:space="preserve">火曜日の依頼を読み、どう対応するかとその理由を書く</w:t>
            </w:r>
          </w:p>
        </w:tc>
        <w:tc>
          <w:tcPr>
            <w:tcW w:type="dxa" w:w="1247"/>
            <w:shd w:val="clear" w:color="auto" w:fill="F7F0FB"/>
          </w:tcPr>
          <w:p>
            <w:pPr>
              <w:spacing w:before="60" w:after="60"/>
            </w:pPr>
            <w:r>
              <w:t xml:space="preserve">なし</w:t>
            </w:r>
          </w:p>
        </w:tc>
        <w:tc>
          <w:tcPr>
            <w:tcW w:type="dxa" w:w="2268"/>
            <w:shd w:val="clear" w:color="auto" w:fill="F7F0FB"/>
          </w:tcPr>
          <w:p>
            <w:pPr>
              <w:spacing w:before="60" w:after="60"/>
            </w:pPr>
            <w:r>
              <w:t xml:space="preserve">最初の回答は正しくなくてよいと伝える</w:t>
            </w:r>
          </w:p>
        </w:tc>
        <w:tc>
          <w:tcPr>
            <w:tcW w:type="dxa" w:w="1701"/>
            <w:shd w:val="clear" w:color="auto" w:fill="F7F0FB"/>
          </w:tcPr>
          <w:p>
            <w:pPr>
              <w:spacing w:before="60" w:after="60"/>
            </w:pPr>
            <w:r>
              <w:t xml:space="preserve">課題先行</w:t>
            </w:r>
          </w:p>
        </w:tc>
      </w:tr>
      <w:tr>
        <w:trPr>
          <w:cantSplit w:val="true"/>
        </w:trPr>
        <w:tc>
          <w:tcPr>
            <w:tcW w:type="dxa" w:w="1587"/>
          </w:tcPr>
          <w:p>
            <w:pPr>
              <w:spacing w:before="60" w:after="60"/>
            </w:pPr>
            <w:r>
              <w:rPr>
                <w:b/>
              </w:rPr>
              <w:t xml:space="preserve">経験者の対応を見る</w:t>
            </w:r>
          </w:p>
        </w:tc>
        <w:tc>
          <w:tcPr>
            <w:tcW w:type="dxa" w:w="2835"/>
          </w:tcPr>
          <w:p>
            <w:pPr>
              <w:spacing w:before="60" w:after="60"/>
            </w:pPr>
            <w:r>
              <w:t xml:space="preserve">ベテラン担当者が過去の依頼について考えを声に出しながら進める様子を追う</w:t>
            </w:r>
          </w:p>
        </w:tc>
        <w:tc>
          <w:tcPr>
            <w:tcW w:type="dxa" w:w="1247"/>
          </w:tcPr>
          <w:p>
            <w:pPr>
              <w:spacing w:before="60" w:after="60"/>
            </w:pPr>
            <w:r>
              <w:t xml:space="preserve">全面</w:t>
            </w:r>
          </w:p>
        </w:tc>
        <w:tc>
          <w:tcPr>
            <w:tcW w:type="dxa" w:w="2268"/>
          </w:tcPr>
          <w:p>
            <w:pPr>
              <w:spacing w:before="60" w:after="60"/>
            </w:pPr>
            <w:r>
              <w:t xml:space="preserve">解き方の例を1ステップずつ示す</w:t>
            </w:r>
          </w:p>
        </w:tc>
        <w:tc>
          <w:tcPr>
            <w:tcW w:type="dxa" w:w="1701"/>
          </w:tcPr>
          <w:p>
            <w:pPr>
              <w:spacing w:before="60" w:after="60"/>
            </w:pPr>
            <w:r>
              <w:t xml:space="preserve">事例学習、モデリング</w:t>
            </w:r>
          </w:p>
        </w:tc>
      </w:tr>
      <w:tr>
        <w:trPr>
          <w:cantSplit w:val="true"/>
        </w:trPr>
        <w:tc>
          <w:tcPr>
            <w:tcW w:type="dxa" w:w="1587"/>
            <w:shd w:val="clear" w:color="auto" w:fill="F7F0FB"/>
          </w:tcPr>
          <w:p>
            <w:pPr>
              <w:spacing w:before="60" w:after="60"/>
            </w:pPr>
            <w:r>
              <w:rPr>
                <w:b/>
              </w:rPr>
              <w:t xml:space="preserve">ヒントを使って事例に取り組む</w:t>
            </w:r>
          </w:p>
        </w:tc>
        <w:tc>
          <w:tcPr>
            <w:tcW w:type="dxa" w:w="2835"/>
            <w:shd w:val="clear" w:color="auto" w:fill="F7F0FB"/>
          </w:tcPr>
          <w:p>
            <w:pPr>
              <w:spacing w:before="60" w:after="60"/>
            </w:pPr>
            <w:r>
              <w:t xml:space="preserve">ケースパックの各部分を火曜日の依頼と照らし合わせて確認する</w:t>
            </w:r>
          </w:p>
        </w:tc>
        <w:tc>
          <w:tcPr>
            <w:tcW w:type="dxa" w:w="1247"/>
            <w:shd w:val="clear" w:color="auto" w:fill="F7F0FB"/>
          </w:tcPr>
          <w:p>
            <w:pPr>
              <w:spacing w:before="60" w:after="60"/>
            </w:pPr>
            <w:r>
              <w:t xml:space="preserve">一部</w:t>
            </w:r>
          </w:p>
        </w:tc>
        <w:tc>
          <w:tcPr>
            <w:tcW w:type="dxa" w:w="2268"/>
            <w:shd w:val="clear" w:color="auto" w:fill="F7F0FB"/>
          </w:tcPr>
          <w:p>
            <w:pPr>
              <w:spacing w:before="60" w:after="60"/>
            </w:pPr>
            <w:r>
              <w:t xml:space="preserve">確認すべき箇所を示す任意のヒント</w:t>
            </w:r>
          </w:p>
        </w:tc>
        <w:tc>
          <w:tcPr>
            <w:tcW w:type="dxa" w:w="1701"/>
            <w:shd w:val="clear" w:color="auto" w:fill="F7F0FB"/>
          </w:tcPr>
          <w:p>
            <w:pPr>
              <w:spacing w:before="60" w:after="60"/>
            </w:pPr>
            <w:r>
              <w:t xml:space="preserve">探究学習、コーチング</w:t>
            </w:r>
          </w:p>
        </w:tc>
      </w:tr>
      <w:tr>
        <w:trPr>
          <w:cantSplit w:val="true"/>
        </w:trPr>
        <w:tc>
          <w:tcPr>
            <w:tcW w:type="dxa" w:w="1587"/>
          </w:tcPr>
          <w:p>
            <w:pPr>
              <w:spacing w:before="60" w:after="60"/>
            </w:pPr>
            <w:r>
              <w:rPr>
                <w:b/>
              </w:rPr>
              <w:t xml:space="preserve">考え方を比較する</w:t>
            </w:r>
          </w:p>
        </w:tc>
        <w:tc>
          <w:tcPr>
            <w:tcW w:type="dxa" w:w="2835"/>
          </w:tcPr>
          <w:p>
            <w:pPr>
              <w:spacing w:before="60" w:after="60"/>
            </w:pPr>
            <w:r>
              <w:t xml:space="preserve">同僚2人の判断を読み、どちらに賛成か、何を変えたいかを述べる</w:t>
            </w:r>
          </w:p>
        </w:tc>
        <w:tc>
          <w:tcPr>
            <w:tcW w:type="dxa" w:w="1247"/>
          </w:tcPr>
          <w:p>
            <w:pPr>
              <w:spacing w:before="60" w:after="60"/>
            </w:pPr>
            <w:r>
              <w:t xml:space="preserve">一部</w:t>
            </w:r>
          </w:p>
        </w:tc>
        <w:tc>
          <w:tcPr>
            <w:tcW w:type="dxa" w:w="2268"/>
          </w:tcPr>
          <w:p>
            <w:pPr>
              <w:spacing w:before="60" w:after="60"/>
            </w:pPr>
            <w:r>
              <w:t xml:space="preserve">手順書と解き方の例</w:t>
            </w:r>
          </w:p>
        </w:tc>
        <w:tc>
          <w:tcPr>
            <w:tcW w:type="dxa" w:w="1701"/>
          </w:tcPr>
          <w:p>
            <w:pPr>
              <w:spacing w:before="60" w:after="60"/>
            </w:pPr>
            <w:r>
              <w:t xml:space="preserve">仲間との振り返り</w:t>
            </w:r>
          </w:p>
        </w:tc>
      </w:tr>
      <w:tr>
        <w:trPr>
          <w:cantSplit w:val="true"/>
        </w:trPr>
        <w:tc>
          <w:tcPr>
            <w:tcW w:type="dxa" w:w="1587"/>
            <w:shd w:val="clear" w:color="auto" w:fill="F7F0FB"/>
          </w:tcPr>
          <w:p>
            <w:pPr>
              <w:spacing w:before="60" w:after="60"/>
            </w:pPr>
            <w:r>
              <w:rPr>
                <w:b/>
              </w:rPr>
              <w:t xml:space="preserve">自分用の確認項目を作る</w:t>
            </w:r>
          </w:p>
        </w:tc>
        <w:tc>
          <w:tcPr>
            <w:tcW w:type="dxa" w:w="2835"/>
            <w:shd w:val="clear" w:color="auto" w:fill="F7F0FB"/>
          </w:tcPr>
          <w:p>
            <w:pPr>
              <w:spacing w:before="60" w:after="60"/>
            </w:pPr>
            <w:r>
              <w:t xml:space="preserve">次の依頼に備えた個人用のチェックリストを書く</w:t>
            </w:r>
          </w:p>
        </w:tc>
        <w:tc>
          <w:tcPr>
            <w:tcW w:type="dxa" w:w="1247"/>
            <w:shd w:val="clear" w:color="auto" w:fill="F7F0FB"/>
          </w:tcPr>
          <w:p>
            <w:pPr>
              <w:spacing w:before="60" w:after="60"/>
            </w:pPr>
            <w:r>
              <w:t xml:space="preserve">軽め</w:t>
            </w:r>
          </w:p>
        </w:tc>
        <w:tc>
          <w:tcPr>
            <w:tcW w:type="dxa" w:w="2268"/>
            <w:shd w:val="clear" w:color="auto" w:fill="F7F0FB"/>
          </w:tcPr>
          <w:p>
            <w:pPr>
              <w:spacing w:before="60" w:after="60"/>
            </w:pPr>
            <w:r>
              <w:t xml:space="preserve">チェックリストに含める内容のヒント</w:t>
            </w:r>
          </w:p>
        </w:tc>
        <w:tc>
          <w:tcPr>
            <w:tcW w:type="dxa" w:w="1701"/>
            <w:shd w:val="clear" w:color="auto" w:fill="F7F0FB"/>
          </w:tcPr>
          <w:p>
            <w:pPr>
              <w:spacing w:before="60" w:after="60"/>
            </w:pPr>
            <w:r>
              <w:t xml:space="preserve">コンストラクショニズム</w:t>
            </w:r>
          </w:p>
        </w:tc>
      </w:tr>
      <w:tr>
        <w:trPr>
          <w:cantSplit w:val="true"/>
        </w:trPr>
        <w:tc>
          <w:tcPr>
            <w:tcW w:type="dxa" w:w="1587"/>
          </w:tcPr>
          <w:p>
            <w:pPr>
              <w:spacing w:before="60" w:after="60"/>
            </w:pPr>
            <w:r>
              <w:rPr>
                <w:b/>
              </w:rPr>
              <w:t xml:space="preserve">新しい事例の判断</w:t>
            </w:r>
          </w:p>
        </w:tc>
        <w:tc>
          <w:tcPr>
            <w:tcW w:type="dxa" w:w="2835"/>
          </w:tcPr>
          <w:p>
            <w:pPr>
              <w:spacing w:before="60" w:after="60"/>
            </w:pPr>
            <w:r>
              <w:t xml:space="preserve">電話で届いた新しい依頼について判断を書く</w:t>
            </w:r>
          </w:p>
        </w:tc>
        <w:tc>
          <w:tcPr>
            <w:tcW w:type="dxa" w:w="1247"/>
          </w:tcPr>
          <w:p>
            <w:pPr>
              <w:spacing w:before="60" w:after="60"/>
            </w:pPr>
            <w:r>
              <w:t xml:space="preserve">なし</w:t>
            </w:r>
          </w:p>
        </w:tc>
        <w:tc>
          <w:tcPr>
            <w:tcW w:type="dxa" w:w="2268"/>
          </w:tcPr>
          <w:p>
            <w:pPr>
              <w:spacing w:before="60" w:after="60"/>
            </w:pPr>
            <w:r>
              <w:t xml:space="preserve">手順書のみ</w:t>
            </w:r>
          </w:p>
        </w:tc>
        <w:tc>
          <w:tcPr>
            <w:tcW w:type="dxa" w:w="1701"/>
          </w:tcPr>
          <w:p>
            <w:pPr>
              <w:spacing w:before="60" w:after="60"/>
            </w:pPr>
            <w:r>
              <w:t xml:space="preserve">探索</w:t>
            </w:r>
          </w:p>
        </w:tc>
      </w:tr>
      <w:tr>
        <w:trPr>
          <w:cantSplit w:val="true"/>
        </w:trPr>
        <w:tc>
          <w:tcPr>
            <w:tcW w:type="dxa" w:w="1587"/>
            <w:shd w:val="clear" w:color="auto" w:fill="F7F0FB"/>
          </w:tcPr>
          <w:p>
            <w:pPr>
              <w:spacing w:before="60" w:after="60"/>
            </w:pPr>
            <w:r>
              <w:rPr>
                <w:b/>
              </w:rPr>
              <w:t xml:space="preserve">まとめ</w:t>
            </w:r>
          </w:p>
        </w:tc>
        <w:tc>
          <w:tcPr>
            <w:tcW w:type="dxa" w:w="2835"/>
            <w:shd w:val="clear" w:color="auto" w:fill="F7F0FB"/>
          </w:tcPr>
          <w:p>
            <w:pPr>
              <w:spacing w:before="60" w:after="60"/>
            </w:pPr>
            <w:r>
              <w:t xml:space="preserve">保留した支払いについて、取引先と承認者にどう伝えるかを学ぶ</w:t>
            </w:r>
          </w:p>
        </w:tc>
        <w:tc>
          <w:tcPr>
            <w:tcW w:type="dxa" w:w="1247"/>
            <w:shd w:val="clear" w:color="auto" w:fill="F7F0FB"/>
          </w:tcPr>
          <w:p>
            <w:pPr>
              <w:spacing w:before="60" w:after="60"/>
            </w:pPr>
            <w:r>
              <w:t xml:space="preserve">全面</w:t>
            </w:r>
          </w:p>
        </w:tc>
        <w:tc>
          <w:tcPr>
            <w:tcW w:type="dxa" w:w="2268"/>
            <w:shd w:val="clear" w:color="auto" w:fill="F7F0FB"/>
          </w:tcPr>
          <w:p>
            <w:pPr>
              <w:spacing w:before="60" w:after="60"/>
            </w:pPr>
            <w:r>
              <w:t xml:space="preserve">短い解説</w:t>
            </w:r>
          </w:p>
        </w:tc>
        <w:tc>
          <w:tcPr>
            <w:tcW w:type="dxa" w:w="1701"/>
            <w:shd w:val="clear" w:color="auto" w:fill="F7F0FB"/>
          </w:tcPr>
          <w:p>
            <w:pPr>
              <w:spacing w:before="60" w:after="60"/>
            </w:pPr>
            <w:r>
              <w:t xml:space="preserve">直接指導</w:t>
            </w:r>
          </w:p>
        </w:tc>
      </w:tr>
    </w:tbl>
    <w:p>
      <w:pPr>
        <w:keepNext/>
        <w:spacing w:before="240" w:after="80"/>
      </w:pPr>
      <w:r>
        <w:rPr>
          <w:b/>
          <w:color w:val="5D008F"/>
          <w:sz w:val="28"/>
        </w:rPr>
        <w:t xml:space="preserve">解き方の例: 新しい事例の評価</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項目</w:t>
            </w:r>
          </w:p>
        </w:tc>
        <w:tc>
          <w:tcPr>
            <w:tcW w:type="dxa" w:w="7087"/>
            <w:shd w:val="clear" w:color="auto" w:fill="5D008F"/>
          </w:tcPr>
          <w:p>
            <w:pPr>
              <w:spacing w:before="60" w:after="60"/>
            </w:pPr>
            <w:r/>
            <w:r>
              <w:rPr>
                <w:b/>
                <w:color w:val="FFFFFF"/>
              </w:rPr>
              <w:t xml:space="preserve">買掛金コース</w:t>
            </w:r>
          </w:p>
        </w:tc>
      </w:tr>
      <w:tr>
        <w:trPr>
          <w:cantSplit w:val="true"/>
        </w:trPr>
        <w:tc>
          <w:tcPr>
            <w:tcW w:type="dxa" w:w="2551"/>
          </w:tcPr>
          <w:p>
            <w:pPr>
              <w:spacing w:before="60" w:after="60"/>
            </w:pPr>
            <w:r>
              <w:rPr>
                <w:b/>
              </w:rPr>
              <w:t xml:space="preserve">新しい事例</w:t>
            </w:r>
          </w:p>
        </w:tc>
        <w:tc>
          <w:tcPr>
            <w:tcW w:type="dxa" w:w="7087"/>
          </w:tcPr>
          <w:p>
            <w:pPr>
              <w:spacing w:before="60" w:after="60"/>
            </w:pPr>
            <w:r>
              <w:t xml:space="preserve">別の取引先で、依頼はメールではなく電話で届き、注意すべきサインも異なる。火曜日の答えはそのまま使えない。</w:t>
            </w:r>
          </w:p>
        </w:tc>
      </w:tr>
      <w:tr>
        <w:trPr>
          <w:cantSplit w:val="true"/>
        </w:trPr>
        <w:tc>
          <w:tcPr>
            <w:tcW w:type="dxa" w:w="2551"/>
            <w:shd w:val="clear" w:color="auto" w:fill="F7F0FB"/>
          </w:tcPr>
          <w:p>
            <w:pPr>
              <w:spacing w:before="60" w:after="60"/>
            </w:pPr>
            <w:r>
              <w:rPr>
                <w:b/>
              </w:rPr>
              <w:t xml:space="preserve">回答形式</w:t>
            </w:r>
          </w:p>
        </w:tc>
        <w:tc>
          <w:tcPr>
            <w:tcW w:type="dxa" w:w="7087"/>
            <w:shd w:val="clear" w:color="auto" w:fill="F7F0FB"/>
          </w:tcPr>
          <w:p>
            <w:pPr>
              <w:spacing w:before="60" w:after="60"/>
            </w:pPr>
            <w:r>
              <w:t xml:space="preserve">自由記述: 判断とその根拠。</w:t>
            </w:r>
          </w:p>
        </w:tc>
      </w:tr>
      <w:tr>
        <w:trPr>
          <w:cantSplit w:val="true"/>
        </w:trPr>
        <w:tc>
          <w:tcPr>
            <w:tcW w:type="dxa" w:w="2551"/>
          </w:tcPr>
          <w:p>
            <w:pPr>
              <w:spacing w:before="60" w:after="60"/>
            </w:pPr>
            <w:r>
              <w:rPr>
                <w:b/>
              </w:rPr>
              <w:t xml:space="preserve">評価基準1</w:t>
            </w:r>
          </w:p>
        </w:tc>
        <w:tc>
          <w:tcPr>
            <w:tcW w:type="dxa" w:w="7087"/>
          </w:tcPr>
          <w:p>
            <w:pPr>
              <w:spacing w:before="60" w:after="60"/>
            </w:pPr>
            <w:r>
              <w:t xml:space="preserve">依頼を取引先マスタの記録と照らし合わせて確認した。</w:t>
            </w:r>
          </w:p>
        </w:tc>
      </w:tr>
      <w:tr>
        <w:trPr>
          <w:cantSplit w:val="true"/>
        </w:trPr>
        <w:tc>
          <w:tcPr>
            <w:tcW w:type="dxa" w:w="2551"/>
            <w:shd w:val="clear" w:color="auto" w:fill="F7F0FB"/>
          </w:tcPr>
          <w:p>
            <w:pPr>
              <w:spacing w:before="60" w:after="60"/>
            </w:pPr>
            <w:r>
              <w:rPr>
                <w:b/>
              </w:rPr>
              <w:t xml:space="preserve">評価基準2</w:t>
            </w:r>
          </w:p>
        </w:tc>
        <w:tc>
          <w:tcPr>
            <w:tcW w:type="dxa" w:w="7087"/>
            <w:shd w:val="clear" w:color="auto" w:fill="F7F0FB"/>
          </w:tcPr>
          <w:p>
            <w:pPr>
              <w:spacing w:before="60" w:after="60"/>
            </w:pPr>
            <w:r>
              <w:t xml:space="preserve">手順書にある確認ステップを挙げた。</w:t>
            </w:r>
          </w:p>
        </w:tc>
      </w:tr>
      <w:tr>
        <w:trPr>
          <w:cantSplit w:val="true"/>
        </w:trPr>
        <w:tc>
          <w:tcPr>
            <w:tcW w:type="dxa" w:w="2551"/>
          </w:tcPr>
          <w:p>
            <w:pPr>
              <w:spacing w:before="60" w:after="60"/>
            </w:pPr>
            <w:r>
              <w:rPr>
                <w:b/>
              </w:rPr>
              <w:t xml:space="preserve">評価基準3</w:t>
            </w:r>
          </w:p>
        </w:tc>
        <w:tc>
          <w:tcPr>
            <w:tcW w:type="dxa" w:w="7087"/>
          </w:tcPr>
          <w:p>
            <w:pPr>
              <w:spacing w:before="60" w:after="60"/>
            </w:pPr>
            <w:r>
              <w:t xml:space="preserve">支払い処理で次に取る行動を述べた。</w:t>
            </w:r>
          </w:p>
        </w:tc>
      </w:tr>
      <w:tr>
        <w:trPr>
          <w:cantSplit w:val="true"/>
        </w:trPr>
        <w:tc>
          <w:tcPr>
            <w:tcW w:type="dxa" w:w="2551"/>
            <w:shd w:val="clear" w:color="auto" w:fill="F7F0FB"/>
          </w:tcPr>
          <w:p>
            <w:pPr>
              <w:spacing w:before="60" w:after="60"/>
            </w:pPr>
            <w:r>
              <w:rPr>
                <w:b/>
              </w:rPr>
              <w:t xml:space="preserve">事実確認</w:t>
            </w:r>
          </w:p>
        </w:tc>
        <w:tc>
          <w:tcPr>
            <w:tcW w:type="dxa" w:w="7087"/>
            <w:shd w:val="clear" w:color="auto" w:fill="F7F0FB"/>
          </w:tcPr>
          <w:p>
            <w:pPr>
              <w:spacing w:before="60" w:after="60"/>
            </w:pPr>
            <w:r>
              <w:t xml:space="preserve">変更を誰が承認するかなど、手順に関する事実のみを問う短い選択式の問題。</w:t>
            </w:r>
          </w:p>
        </w:tc>
      </w:tr>
      <w:tr>
        <w:trPr>
          <w:cantSplit w:val="true"/>
        </w:trPr>
        <w:tc>
          <w:tcPr>
            <w:tcW w:type="dxa" w:w="2551"/>
          </w:tcPr>
          <w:p>
            <w:pPr>
              <w:spacing w:before="60" w:after="60"/>
            </w:pPr>
            <w:r>
              <w:rPr>
                <w:b/>
              </w:rPr>
              <w:t xml:space="preserve">その後の現場での確認</w:t>
            </w:r>
          </w:p>
        </w:tc>
        <w:tc>
          <w:tcPr>
            <w:tcW w:type="dxa" w:w="7087"/>
          </w:tcPr>
          <w:p>
            <w:pPr>
              <w:spacing w:before="60" w:after="60"/>
            </w:pPr>
            <w:r>
              <w:t xml:space="preserve">その後の数週間、各担当者が処理した変更依頼を見直す。</w:t>
            </w:r>
          </w:p>
        </w:tc>
      </w:tr>
    </w:tbl>
    <w:p>
      <w:pPr>
        <w:keepNext/>
        <w:pageBreakBefore/>
        <w:spacing w:before="240" w:after="80"/>
      </w:pPr>
      <w:r>
        <w:rPr>
          <w:b/>
          <w:color w:val="5D008F"/>
          <w:sz w:val="28"/>
        </w:rPr>
        <w:t xml:space="preserve">あなたのモジュール: 課題とケースパック</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項目</w:t>
            </w:r>
          </w:p>
        </w:tc>
        <w:tc>
          <w:tcPr>
            <w:tcW w:type="dxa" w:w="7087"/>
            <w:shd w:val="clear" w:color="auto" w:fill="5D008F"/>
          </w:tcPr>
          <w:p>
            <w:pPr>
              <w:spacing w:before="60" w:after="60"/>
            </w:pPr>
            <w:r/>
            <w:r>
              <w:rPr>
                <w:b/>
                <w:color w:val="FFFFFF"/>
              </w:rPr>
              <w:t xml:space="preserve">あなたのコース</w:t>
            </w:r>
          </w:p>
        </w:tc>
      </w:tr>
      <w:tr>
        <w:trPr>
          <w:cantSplit w:val="true"/>
          <w:trHeight w:val="1247"/>
        </w:trPr>
        <w:tc>
          <w:tcPr>
            <w:tcW w:type="dxa" w:w="2551"/>
          </w:tcPr>
          <w:p>
            <w:pPr>
              <w:spacing w:before="60" w:after="60"/>
            </w:pPr>
            <w:r>
              <w:rPr>
                <w:b/>
              </w:rPr>
              <w:t xml:space="preserve">学習者が判断を誤る場面</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 xml:space="preserve">課題</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 xml:space="preserve">ケースパック</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 xml:space="preserve">決め手となるルール</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 xml:space="preserve">期待する成果</w:t>
            </w:r>
          </w:p>
        </w:tc>
        <w:tc>
          <w:tcPr>
            <w:tcW w:type="dxa" w:w="7087"/>
          </w:tcPr>
          <w:p>
            <w:pPr>
              <w:spacing w:before="60" w:after="60"/>
            </w:pPr>
            <w:r/>
          </w:p>
        </w:tc>
      </w:tr>
    </w:tbl>
    <w:p>
      <w:pPr>
        <w:keepNext/>
        <w:spacing w:before="240" w:after="80"/>
      </w:pPr>
      <w:r>
        <w:rPr>
          <w:b/>
          <w:color w:val="5D008F"/>
          <w:sz w:val="28"/>
        </w:rPr>
        <w:t xml:space="preserve">あなたのモジュール: 学習者がすでに知っていること</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 xml:space="preserve">質問</w:t>
            </w:r>
          </w:p>
        </w:tc>
        <w:tc>
          <w:tcPr>
            <w:tcW w:type="dxa" w:w="6236"/>
            <w:shd w:val="clear" w:color="auto" w:fill="5D008F"/>
          </w:tcPr>
          <w:p>
            <w:pPr>
              <w:spacing w:before="60" w:after="60"/>
            </w:pPr>
            <w:r/>
            <w:r>
              <w:rPr>
                <w:b/>
                <w:color w:val="FFFFFF"/>
              </w:rPr>
              <w:t xml:space="preserve">あなたの回答</w:t>
            </w:r>
          </w:p>
        </w:tc>
      </w:tr>
      <w:tr>
        <w:trPr>
          <w:cantSplit w:val="true"/>
          <w:trHeight w:val="1020"/>
        </w:trPr>
        <w:tc>
          <w:tcPr>
            <w:tcW w:type="dxa" w:w="3402"/>
          </w:tcPr>
          <w:p>
            <w:pPr>
              <w:spacing w:before="60" w:after="60"/>
            </w:pPr>
            <w:r>
              <w:rPr>
                <w:b/>
              </w:rPr>
              <w:t xml:space="preserve">すでにできることは何ですか。</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 xml:space="preserve">まだ経験していないことは何ですか。</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 xml:space="preserve">どんな思い込みがありそうですか。</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 xml:space="preserve">どのように確認しましたか。</w:t>
            </w:r>
          </w:p>
        </w:tc>
        <w:tc>
          <w:tcPr>
            <w:tcW w:type="dxa" w:w="6236"/>
            <w:shd w:val="clear" w:color="auto" w:fill="F7F0FB"/>
          </w:tcPr>
          <w:p>
            <w:pPr>
              <w:spacing w:before="60" w:after="60"/>
            </w:pPr>
            <w:r/>
          </w:p>
        </w:tc>
      </w:tr>
    </w:tbl>
    <w:p>
      <w:pPr>
        <w:keepNext/>
        <w:pageBreakBefore/>
        <w:spacing w:before="240" w:after="80"/>
      </w:pPr>
      <w:r>
        <w:rPr>
          <w:b/>
          <w:color w:val="5D008F"/>
          <w:sz w:val="28"/>
        </w:rPr>
        <w:t xml:space="preserve">あなたのモジュール: 流れと各ステップでの支援</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 xml:space="preserve">ステップ</w:t>
            </w:r>
          </w:p>
        </w:tc>
        <w:tc>
          <w:tcPr>
            <w:tcW w:type="dxa" w:w="2835"/>
            <w:shd w:val="clear" w:color="auto" w:fill="5D008F"/>
          </w:tcPr>
          <w:p>
            <w:pPr>
              <w:spacing w:before="60" w:after="60"/>
            </w:pPr>
            <w:r/>
            <w:r>
              <w:rPr>
                <w:b/>
                <w:color w:val="FFFFFF"/>
              </w:rPr>
              <w:t xml:space="preserve">学習者の行動</w:t>
            </w:r>
          </w:p>
        </w:tc>
        <w:tc>
          <w:tcPr>
            <w:tcW w:type="dxa" w:w="1247"/>
            <w:shd w:val="clear" w:color="auto" w:fill="5D008F"/>
          </w:tcPr>
          <w:p>
            <w:pPr>
              <w:spacing w:before="60" w:after="60"/>
            </w:pPr>
            <w:r/>
            <w:r>
              <w:rPr>
                <w:b/>
                <w:color w:val="FFFFFF"/>
              </w:rPr>
              <w:t xml:space="preserve">支援レベル</w:t>
            </w:r>
          </w:p>
        </w:tc>
        <w:tc>
          <w:tcPr>
            <w:tcW w:type="dxa" w:w="2268"/>
            <w:shd w:val="clear" w:color="auto" w:fill="5D008F"/>
          </w:tcPr>
          <w:p>
            <w:pPr>
              <w:spacing w:before="60" w:after="60"/>
            </w:pPr>
            <w:r/>
            <w:r>
              <w:rPr>
                <w:b/>
                <w:color w:val="FFFFFF"/>
              </w:rPr>
              <w:t xml:space="preserve">使える支援</w:t>
            </w:r>
          </w:p>
        </w:tc>
        <w:tc>
          <w:tcPr>
            <w:tcW w:type="dxa" w:w="1701"/>
            <w:shd w:val="clear" w:color="auto" w:fill="5D008F"/>
          </w:tcPr>
          <w:p>
            <w:pPr>
              <w:spacing w:before="60" w:after="60"/>
            </w:pPr>
            <w:r/>
            <w:r>
              <w:rPr>
                <w:b/>
                <w:color w:val="FFFFFF"/>
              </w:rPr>
              <w:t xml:space="preserve">手法</w:t>
            </w:r>
          </w:p>
        </w:tc>
      </w:tr>
      <w:tr>
        <w:trPr>
          <w:cantSplit w:val="true"/>
          <w:trHeight w:val="1134"/>
        </w:trPr>
        <w:tc>
          <w:tcPr>
            <w:tcW w:type="dxa" w:w="1587"/>
          </w:tcPr>
          <w:p>
            <w:pPr>
              <w:spacing w:before="60" w:after="60"/>
            </w:pPr>
            <w:r>
              <w:rPr>
                <w:b/>
              </w:rPr>
              <w:t xml:space="preserve">最初の挑戦</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 xml:space="preserve">解き方の例</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 xml:space="preserve">支援付きの練習</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 xml:space="preserve">考え方の比較</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 xml:space="preserve">自分のツール作り</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 xml:space="preserve">新しい事例</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 xml:space="preserve">まとめ</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 xml:space="preserve">あなたのモジュール: 新しい事例の評価</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 xml:space="preserve">項目</w:t>
            </w:r>
          </w:p>
        </w:tc>
        <w:tc>
          <w:tcPr>
            <w:tcW w:type="dxa" w:w="7087"/>
            <w:shd w:val="clear" w:color="auto" w:fill="5D008F"/>
          </w:tcPr>
          <w:p>
            <w:pPr>
              <w:spacing w:before="60" w:after="60"/>
            </w:pPr>
            <w:r/>
            <w:r>
              <w:rPr>
                <w:b/>
                <w:color w:val="FFFFFF"/>
              </w:rPr>
              <w:t xml:space="preserve">あなたのコース</w:t>
            </w:r>
          </w:p>
        </w:tc>
      </w:tr>
      <w:tr>
        <w:trPr>
          <w:cantSplit w:val="true"/>
          <w:trHeight w:val="1077"/>
        </w:trPr>
        <w:tc>
          <w:tcPr>
            <w:tcW w:type="dxa" w:w="2551"/>
          </w:tcPr>
          <w:p>
            <w:pPr>
              <w:spacing w:before="60" w:after="60"/>
            </w:pPr>
            <w:r>
              <w:rPr>
                <w:b/>
              </w:rPr>
              <w:t xml:space="preserve">新しい事例</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 xml:space="preserve">回答形式</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 xml:space="preserve">評価基準1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 xml:space="preserve">評価基準2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 xml:space="preserve">評価基準3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 xml:space="preserve">事実確認</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 xml:space="preserve">その後の現場での確認</w:t>
            </w:r>
          </w:p>
        </w:tc>
        <w:tc>
          <w:tcPr>
            <w:tcW w:type="dxa" w:w="7087"/>
          </w:tcPr>
          <w:p>
            <w:pPr>
              <w:spacing w:before="60" w:after="60"/>
            </w:pPr>
            <w:r/>
          </w:p>
        </w:tc>
      </w:tr>
    </w:tbl>
    <w:p>
      <w:pPr>
        <w:keepNext/>
        <w:pageBreakBefore/>
        <w:spacing w:before="240" w:after="80"/>
      </w:pPr>
      <w:r>
        <w:rPr>
          <w:b/>
          <w:color w:val="5D008F"/>
          <w:sz w:val="28"/>
        </w:rPr>
        <w:t xml:space="preserve">計画をチェックする</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 xml:space="preserve">チェック項目</w:t>
            </w:r>
          </w:p>
        </w:tc>
        <w:tc>
          <w:tcPr>
            <w:tcW w:type="dxa" w:w="3685"/>
            <w:shd w:val="clear" w:color="auto" w:fill="5D008F"/>
          </w:tcPr>
          <w:p>
            <w:pPr>
              <w:spacing w:before="60" w:after="60"/>
            </w:pPr>
            <w:r/>
            <w:r>
              <w:rPr>
                <w:b/>
                <w:color w:val="FFFFFF"/>
              </w:rPr>
              <w:t xml:space="preserve">はい、またはメモ</w:t>
            </w:r>
          </w:p>
        </w:tc>
      </w:tr>
      <w:tr>
        <w:trPr>
          <w:cantSplit w:val="true"/>
          <w:trHeight w:val="850"/>
        </w:trPr>
        <w:tc>
          <w:tcPr>
            <w:tcW w:type="dxa" w:w="5953"/>
          </w:tcPr>
          <w:p>
            <w:pPr>
              <w:spacing w:before="60" w:after="60"/>
            </w:pPr>
            <w:r>
              <w:t xml:space="preserve">ケースパックには、判断に必要なものがすべて含まれていますか。</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学習者がすでに知っていることを、決めつけずに確認しましたか。</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 xml:space="preserve">冒頭の順序は事前知識に合っていますか。必要なら解き方の例を先に置いていますか。</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支援付きの練習の前に、解き方の例がありますか。</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 xml:space="preserve">支援はステップごとに減り、新しい事例ではなしになっていますか。</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新しい事例は、最初の答えをそのまま使えないほど異なっていますか。</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 xml:space="preserve">最後の課題は、判断とその根拠の両方を評価していますか。</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 xml:space="preserve">その後、現場でどう確認するかを決めていますか。</w:t>
            </w:r>
          </w:p>
        </w:tc>
        <w:tc>
          <w:tcPr>
            <w:tcW w:type="dxa" w:w="3685"/>
            <w:shd w:val="clear" w:color="auto" w:fill="F7F0FB"/>
          </w:tcPr>
          <w:p>
            <w:pPr>
              <w:spacing w:before="60" w:after="60"/>
            </w:pPr>
            <w:r/>
          </w:p>
        </w:tc>
      </w:tr>
    </w:tbl>
    <w:p>
      <w:pPr>
        <w:spacing w:before="160"/>
      </w:pPr>
      <w:r>
        <w:rPr>
          <w:i/>
          <w:color w:val="5A5766"/>
        </w:rPr>
        <w:t xml:space="preserve">Courseboxの独自の応用です。手法の出典: Collins, A., Brown, J. S. and Newman, S. E. (1989) Cognitive apprenticeship; Savery, J. R. (2006) Overview of problem-based learning; Sinha, T. and Kapur, M. (2021) When problem solving followed by instruction works. このプランナーはスコアを出しません。計画を完成させても、学習者が現場でうまく判断できるとは限りません。試行して、成果を確認してください。</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無料テンプレート  |  ページ</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