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Case Reasoning and Personal Checklist Sheet</w:t>
      </w:r>
    </w:p>
    <w:p>
      <w:r>
        <w:rPr>
          <w:color w:val="5A5766"/>
          <w:sz w:val="22"/>
        </w:rPr>
        <w:t>For one learner working one case: record the first answer and the final answer, compare two colleagues' reasoning, check the decision against written criteria, and build a personal checklist for the next case. Coursebox's own adaptation of the reflection and articulation methods in cognitive apprenticeship (Collins, Brown and Holum, 1991). A learning aid, not a validated instrument: it gives no score and does not certify competence. A hypothetical accounts payable officer's sheet is filled in as an example.</w:t>
      </w:r>
    </w:p>
    <w:p>
      <w:r>
        <w:rPr>
          <w:i/>
          <w:color w:val="5A5766"/>
          <w:sz w:val="18"/>
        </w:rPr>
        <w:t>From the Coursebox blog: coursebox.ai/blog/constructivism-learning-theory-and-its-elearning-application</w:t>
      </w:r>
    </w:p>
    <w:p>
      <w:pPr>
        <w:keepNext/>
        <w:spacing w:before="240" w:after="80"/>
      </w:pPr>
      <w:r>
        <w:rPr>
          <w:b/>
          <w:color w:val="5D008F"/>
          <w:sz w:val="28"/>
        </w:rPr>
        <w:t>How to use this sheet</w:t>
      </w:r>
    </w:p>
    <w:p>
      <w:pPr>
        <w:pStyle w:val="ListBullet"/>
      </w:pPr>
      <w:r>
        <w:t>For the problem-first version, record the first answer before explanation. If learners cannot start, use a worked example first.</w:t>
      </w:r>
    </w:p>
    <w:p>
      <w:pPr>
        <w:pStyle w:val="ListBullet"/>
      </w:pPr>
      <w:r>
        <w:t>Write the final answer after the worked example and guided practice. The difference between the two is the evidence of changed reasoning.</w:t>
      </w:r>
    </w:p>
    <w:p>
      <w:pPr>
        <w:pStyle w:val="ListBullet"/>
      </w:pPr>
      <w:r>
        <w:t>Compare two colleagues' decisions on the same case. Say which reasoning you agree with and why, not only which answer is right.</w:t>
      </w:r>
    </w:p>
    <w:p>
      <w:pPr>
        <w:pStyle w:val="ListBullet"/>
      </w:pPr>
      <w:r>
        <w:t>Check the final decision against each criterion with a short written note. The notes are prompts for feedback, not marks.</w:t>
      </w:r>
    </w:p>
    <w:p>
      <w:pPr>
        <w:pStyle w:val="ListBullet"/>
      </w:pPr>
      <w:r>
        <w:t>Finish by writing your own checklist for the next case, in your own words.</w:t>
      </w:r>
    </w:p>
    <w:p>
      <w:pPr>
        <w:keepNext/>
        <w:pageBreakBefore/>
        <w:spacing w:before="240" w:after="80"/>
      </w:pPr>
      <w:r>
        <w:rPr>
          <w:b/>
          <w:color w:val="5D008F"/>
          <w:sz w:val="28"/>
        </w:rPr>
        <w:t>Worked example: first and final answers</w:t>
      </w:r>
    </w:p>
    <w:p>
      <w:r>
        <w:t>Hypothetical example. A new accounts payable officer works the Tuesday case: an email from the usual contact at a long-standing packaging supplier asks AP to change the bank account "for all payments from this week". A $48,600 invoice is due in Thursday's run, and the sender's domain differs from the usual one by one letter.</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r>
          </w:p>
        </w:tc>
        <w:tc>
          <w:tcPr>
            <w:tcW w:type="dxa" w:w="7654"/>
            <w:shd w:val="clear" w:color="auto" w:fill="5D008F"/>
          </w:tcPr>
          <w:p>
            <w:pPr>
              <w:spacing w:before="60" w:after="60"/>
            </w:pPr>
            <w:r/>
            <w:r>
              <w:rPr>
                <w:b/>
                <w:color w:val="FFFFFF"/>
              </w:rPr>
              <w:t>The officer's answer</w:t>
            </w:r>
          </w:p>
        </w:tc>
      </w:tr>
      <w:tr>
        <w:trPr>
          <w:cantSplit w:val="true"/>
        </w:trPr>
        <w:tc>
          <w:tcPr>
            <w:tcW w:type="dxa" w:w="1984"/>
          </w:tcPr>
          <w:p>
            <w:pPr>
              <w:spacing w:before="60" w:after="60"/>
            </w:pPr>
            <w:r>
              <w:rPr>
                <w:b/>
              </w:rPr>
              <w:t>First answer</w:t>
            </w:r>
          </w:p>
        </w:tc>
        <w:tc>
          <w:tcPr>
            <w:tcW w:type="dxa" w:w="7654"/>
          </w:tcPr>
          <w:p>
            <w:pPr>
              <w:spacing w:before="60" w:after="60"/>
            </w:pPr>
            <w:r>
              <w:t>Update the bank details, because the request came from the contact we always deal with and the letter is on their letterhead. Pay on Thursday as normal.</w:t>
            </w:r>
          </w:p>
        </w:tc>
      </w:tr>
      <w:tr>
        <w:trPr>
          <w:cantSplit w:val="true"/>
        </w:trPr>
        <w:tc>
          <w:tcPr>
            <w:tcW w:type="dxa" w:w="1984"/>
            <w:shd w:val="clear" w:color="auto" w:fill="F7F0FB"/>
          </w:tcPr>
          <w:p>
            <w:pPr>
              <w:spacing w:before="60" w:after="60"/>
            </w:pPr>
            <w:r>
              <w:rPr>
                <w:b/>
              </w:rPr>
              <w:t>Final answer</w:t>
            </w:r>
          </w:p>
        </w:tc>
        <w:tc>
          <w:tcPr>
            <w:tcW w:type="dxa" w:w="7654"/>
            <w:shd w:val="clear" w:color="auto" w:fill="F7F0FB"/>
          </w:tcPr>
          <w:p>
            <w:pPr>
              <w:spacing w:before="60" w:after="60"/>
            </w:pPr>
            <w:r>
              <w:t>Hold the change and the $48,600 payment. The sender's domain is one letter different from the one in the vendor master, and the record shows no change in four years. Call the supplier on the number already on file, not anything in the email or letter, and get a second officer's approval before any change. Tell the approver the Thursday payment is on hold.</w:t>
            </w:r>
          </w:p>
        </w:tc>
      </w:tr>
      <w:tr>
        <w:trPr>
          <w:cantSplit w:val="true"/>
        </w:trPr>
        <w:tc>
          <w:tcPr>
            <w:tcW w:type="dxa" w:w="1984"/>
          </w:tcPr>
          <w:p>
            <w:pPr>
              <w:spacing w:before="60" w:after="60"/>
            </w:pPr>
            <w:r>
              <w:rPr>
                <w:b/>
              </w:rPr>
              <w:t>What changed in my reasoning</w:t>
            </w:r>
          </w:p>
        </w:tc>
        <w:tc>
          <w:tcPr>
            <w:tcW w:type="dxa" w:w="7654"/>
          </w:tcPr>
          <w:p>
            <w:pPr>
              <w:spacing w:before="60" w:after="60"/>
            </w:pPr>
            <w:r>
              <w:t>I trusted the sender's name. Now I check the request against the vendor record and the procedure, whoever it seems to come from.</w:t>
            </w:r>
          </w:p>
        </w:tc>
      </w:tr>
    </w:tbl>
    <w:p>
      <w:pPr>
        <w:keepNext/>
        <w:spacing w:before="240" w:after="80"/>
      </w:pPr>
      <w:r>
        <w:rPr>
          <w:b/>
          <w:color w:val="5D008F"/>
          <w:sz w:val="28"/>
        </w:rPr>
        <w:t>Worked example: comparing colleagues' reasoning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spacing w:before="60" w:after="60"/>
            </w:pPr>
            <w:r/>
            <w:r>
              <w:rPr>
                <w:b/>
                <w:color w:val="FFFFFF"/>
              </w:rPr>
              <w:t>Colleague's decision</w:t>
            </w:r>
          </w:p>
        </w:tc>
        <w:tc>
          <w:tcPr>
            <w:tcW w:type="dxa" w:w="3685"/>
            <w:shd w:val="clear" w:color="auto" w:fill="5D008F"/>
          </w:tcPr>
          <w:p>
            <w:pPr>
              <w:spacing w:before="60" w:after="60"/>
            </w:pPr>
            <w:r/>
            <w:r>
              <w:rPr>
                <w:b/>
                <w:color w:val="FFFFFF"/>
              </w:rPr>
              <w:t>Their reasoning</w:t>
            </w:r>
          </w:p>
        </w:tc>
        <w:tc>
          <w:tcPr>
            <w:tcW w:type="dxa" w:w="3685"/>
            <w:shd w:val="clear" w:color="auto" w:fill="5D008F"/>
          </w:tcPr>
          <w:p>
            <w:pPr>
              <w:spacing w:before="60" w:after="60"/>
            </w:pPr>
            <w:r/>
            <w:r>
              <w:rPr>
                <w:b/>
                <w:color w:val="FFFFFF"/>
              </w:rPr>
              <w:t>Do I agree, and why?</w:t>
            </w:r>
          </w:p>
        </w:tc>
      </w:tr>
      <w:tr>
        <w:trPr>
          <w:cantSplit w:val="true"/>
        </w:trPr>
        <w:tc>
          <w:tcPr>
            <w:tcW w:type="dxa" w:w="2268"/>
          </w:tcPr>
          <w:p>
            <w:pPr>
              <w:spacing w:before="60" w:after="60"/>
            </w:pPr>
            <w:r>
              <w:rPr>
                <w:b/>
              </w:rPr>
              <w:t>Pays on Thursday and updates the details</w:t>
            </w:r>
          </w:p>
        </w:tc>
        <w:tc>
          <w:tcPr>
            <w:tcW w:type="dxa" w:w="3685"/>
          </w:tcPr>
          <w:p>
            <w:pPr>
              <w:spacing w:before="60" w:after="60"/>
            </w:pPr>
            <w:r>
              <w:t>Known contact, letterhead, supplier said they moved banks</w:t>
            </w:r>
          </w:p>
        </w:tc>
        <w:tc>
          <w:tcPr>
            <w:tcW w:type="dxa" w:w="3685"/>
          </w:tcPr>
          <w:p>
            <w:pPr>
              <w:spacing w:before="60" w:after="60"/>
            </w:pPr>
            <w:r>
              <w:t>No. Nothing in the request was checked against the vendor record, and the procedure requires a call to the number on file.</w:t>
            </w:r>
          </w:p>
        </w:tc>
      </w:tr>
      <w:tr>
        <w:trPr>
          <w:cantSplit w:val="true"/>
        </w:trPr>
        <w:tc>
          <w:tcPr>
            <w:tcW w:type="dxa" w:w="2268"/>
            <w:shd w:val="clear" w:color="auto" w:fill="F7F0FB"/>
          </w:tcPr>
          <w:p>
            <w:pPr>
              <w:spacing w:before="60" w:after="60"/>
            </w:pPr>
            <w:r>
              <w:rPr>
                <w:b/>
              </w:rPr>
              <w:t>Holds the payment and calls the number on file</w:t>
            </w:r>
          </w:p>
        </w:tc>
        <w:tc>
          <w:tcPr>
            <w:tcW w:type="dxa" w:w="3685"/>
            <w:shd w:val="clear" w:color="auto" w:fill="F7F0FB"/>
          </w:tcPr>
          <w:p>
            <w:pPr>
              <w:spacing w:before="60" w:after="60"/>
            </w:pPr>
            <w:r>
              <w:t>Domain does not match, first change in four years, deadline pressure in the email</w:t>
            </w:r>
          </w:p>
        </w:tc>
        <w:tc>
          <w:tcPr>
            <w:tcW w:type="dxa" w:w="3685"/>
            <w:shd w:val="clear" w:color="auto" w:fill="F7F0FB"/>
          </w:tcPr>
          <w:p>
            <w:pPr>
              <w:spacing w:before="60" w:after="60"/>
            </w:pPr>
            <w:r>
              <w:t>Yes. This follows the procedure and explains which details did not fit.</w:t>
            </w:r>
          </w:p>
        </w:tc>
      </w:tr>
    </w:tbl>
    <w:p>
      <w:pPr>
        <w:keepNext/>
        <w:pageBreakBefore/>
        <w:spacing w:before="240" w:after="80"/>
      </w:pPr>
      <w:r>
        <w:rPr>
          <w:b/>
          <w:color w:val="5D008F"/>
          <w:sz w:val="28"/>
        </w:rPr>
        <w:t>Worked example: checking the final decision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Criterion</w:t>
            </w:r>
          </w:p>
        </w:tc>
        <w:tc>
          <w:tcPr>
            <w:tcW w:type="dxa" w:w="1814"/>
            <w:shd w:val="clear" w:color="auto" w:fill="5D008F"/>
          </w:tcPr>
          <w:p>
            <w:pPr>
              <w:spacing w:before="60" w:after="60"/>
            </w:pPr>
            <w:r/>
            <w:r>
              <w:rPr>
                <w:b/>
                <w:color w:val="FFFFFF"/>
              </w:rPr>
              <w:t>Not yet</w:t>
            </w:r>
          </w:p>
        </w:tc>
        <w:tc>
          <w:tcPr>
            <w:tcW w:type="dxa" w:w="1814"/>
            <w:shd w:val="clear" w:color="auto" w:fill="5D008F"/>
          </w:tcPr>
          <w:p>
            <w:pPr>
              <w:spacing w:before="60" w:after="60"/>
            </w:pPr>
            <w:r/>
            <w:r>
              <w:rPr>
                <w:b/>
                <w:color w:val="FFFFFF"/>
              </w:rPr>
              <w:t>Meets</w:t>
            </w:r>
          </w:p>
        </w:tc>
        <w:tc>
          <w:tcPr>
            <w:tcW w:type="dxa" w:w="1814"/>
            <w:shd w:val="clear" w:color="auto" w:fill="5D008F"/>
          </w:tcPr>
          <w:p>
            <w:pPr>
              <w:spacing w:before="60" w:after="60"/>
            </w:pPr>
            <w:r/>
            <w:r>
              <w:rPr>
                <w:b/>
                <w:color w:val="FFFFFF"/>
              </w:rPr>
              <w:t>Goes further</w:t>
            </w:r>
          </w:p>
        </w:tc>
        <w:tc>
          <w:tcPr>
            <w:tcW w:type="dxa" w:w="2154"/>
            <w:shd w:val="clear" w:color="auto" w:fill="5D008F"/>
          </w:tcPr>
          <w:p>
            <w:pPr>
              <w:spacing w:before="60" w:after="60"/>
            </w:pPr>
            <w:r/>
            <w:r>
              <w:rPr>
                <w:b/>
                <w:color w:val="FFFFFF"/>
              </w:rPr>
              <w:t>Feedback note</w:t>
            </w:r>
          </w:p>
        </w:tc>
      </w:tr>
      <w:tr>
        <w:trPr>
          <w:cantSplit w:val="true"/>
        </w:trPr>
        <w:tc>
          <w:tcPr>
            <w:tcW w:type="dxa" w:w="2041"/>
          </w:tcPr>
          <w:p>
            <w:pPr>
              <w:spacing w:before="60" w:after="60"/>
            </w:pPr>
            <w:r>
              <w:rPr>
                <w:b/>
              </w:rPr>
              <w:t>Checked the request against the vendor master record</w:t>
            </w:r>
          </w:p>
        </w:tc>
        <w:tc>
          <w:tcPr>
            <w:tcW w:type="dxa" w:w="1814"/>
          </w:tcPr>
          <w:p>
            <w:pPr>
              <w:spacing w:before="60" w:after="60"/>
            </w:pPr>
            <w:r>
              <w:t>Relies on the sender's name or the letterhead</w:t>
            </w:r>
          </w:p>
        </w:tc>
        <w:tc>
          <w:tcPr>
            <w:tcW w:type="dxa" w:w="1814"/>
          </w:tcPr>
          <w:p>
            <w:pPr>
              <w:spacing w:before="60" w:after="60"/>
            </w:pPr>
            <w:r>
              <w:t>Compares the domain, bank details and change history with the record</w:t>
            </w:r>
          </w:p>
        </w:tc>
        <w:tc>
          <w:tcPr>
            <w:tcW w:type="dxa" w:w="1814"/>
          </w:tcPr>
          <w:p>
            <w:pPr>
              <w:spacing w:before="60" w:after="60"/>
            </w:pPr>
            <w:r>
              <w:t>Also names which detail would have been easy to miss</w:t>
            </w:r>
          </w:p>
        </w:tc>
        <w:tc>
          <w:tcPr>
            <w:tcW w:type="dxa" w:w="2154"/>
          </w:tcPr>
          <w:p>
            <w:pPr>
              <w:spacing w:before="60" w:after="60"/>
            </w:pPr>
            <w:r>
              <w:t>Compared the domain and change history. Next time, also compare the bank details in the letter with the record.</w:t>
            </w:r>
          </w:p>
        </w:tc>
      </w:tr>
      <w:tr>
        <w:trPr>
          <w:cantSplit w:val="true"/>
        </w:trPr>
        <w:tc>
          <w:tcPr>
            <w:tcW w:type="dxa" w:w="2041"/>
            <w:shd w:val="clear" w:color="auto" w:fill="F7F0FB"/>
          </w:tcPr>
          <w:p>
            <w:pPr>
              <w:spacing w:before="60" w:after="60"/>
            </w:pPr>
            <w:r>
              <w:rPr>
                <w:b/>
              </w:rPr>
              <w:t>Named the verification step from the procedure</w:t>
            </w:r>
          </w:p>
        </w:tc>
        <w:tc>
          <w:tcPr>
            <w:tcW w:type="dxa" w:w="1814"/>
            <w:shd w:val="clear" w:color="auto" w:fill="F7F0FB"/>
          </w:tcPr>
          <w:p>
            <w:pPr>
              <w:spacing w:before="60" w:after="60"/>
            </w:pPr>
            <w:r>
              <w:t>No call, or calls a number in the request</w:t>
            </w:r>
          </w:p>
        </w:tc>
        <w:tc>
          <w:tcPr>
            <w:tcW w:type="dxa" w:w="1814"/>
            <w:shd w:val="clear" w:color="auto" w:fill="F7F0FB"/>
          </w:tcPr>
          <w:p>
            <w:pPr>
              <w:spacing w:before="60" w:after="60"/>
            </w:pPr>
            <w:r>
              <w:t>Calls the number on file and requires second approval</w:t>
            </w:r>
          </w:p>
        </w:tc>
        <w:tc>
          <w:tcPr>
            <w:tcW w:type="dxa" w:w="1814"/>
            <w:shd w:val="clear" w:color="auto" w:fill="F7F0FB"/>
          </w:tcPr>
          <w:p>
            <w:pPr>
              <w:spacing w:before="60" w:after="60"/>
            </w:pPr>
            <w:r>
              <w:t>States the call and second officer's approval</w:t>
            </w:r>
          </w:p>
        </w:tc>
        <w:tc>
          <w:tcPr>
            <w:tcW w:type="dxa" w:w="2154"/>
            <w:shd w:val="clear" w:color="auto" w:fill="F7F0FB"/>
          </w:tcPr>
          <w:p>
            <w:pPr>
              <w:spacing w:before="60" w:after="60"/>
            </w:pPr>
            <w:r>
              <w:t>Named both steps.</w:t>
            </w:r>
          </w:p>
        </w:tc>
      </w:tr>
      <w:tr>
        <w:trPr>
          <w:cantSplit w:val="true"/>
        </w:trPr>
        <w:tc>
          <w:tcPr>
            <w:tcW w:type="dxa" w:w="2041"/>
          </w:tcPr>
          <w:p>
            <w:pPr>
              <w:spacing w:before="60" w:after="60"/>
            </w:pPr>
            <w:r>
              <w:rPr>
                <w:b/>
              </w:rPr>
              <w:t>Stated the next action for the payment run</w:t>
            </w:r>
          </w:p>
        </w:tc>
        <w:tc>
          <w:tcPr>
            <w:tcW w:type="dxa" w:w="1814"/>
          </w:tcPr>
          <w:p>
            <w:pPr>
              <w:spacing w:before="60" w:after="60"/>
            </w:pPr>
            <w:r>
              <w:t>Leaves the payment as it is</w:t>
            </w:r>
          </w:p>
        </w:tc>
        <w:tc>
          <w:tcPr>
            <w:tcW w:type="dxa" w:w="1814"/>
          </w:tcPr>
          <w:p>
            <w:pPr>
              <w:spacing w:before="60" w:after="60"/>
            </w:pPr>
            <w:r>
              <w:t>Holds the payment until the change is verified</w:t>
            </w:r>
          </w:p>
        </w:tc>
        <w:tc>
          <w:tcPr>
            <w:tcW w:type="dxa" w:w="1814"/>
          </w:tcPr>
          <w:p>
            <w:pPr>
              <w:spacing w:before="60" w:after="60"/>
            </w:pPr>
            <w:r>
              <w:t>Also says who to tell and when</w:t>
            </w:r>
          </w:p>
        </w:tc>
        <w:tc>
          <w:tcPr>
            <w:tcW w:type="dxa" w:w="2154"/>
          </w:tcPr>
          <w:p>
            <w:pPr>
              <w:spacing w:before="60" w:after="60"/>
            </w:pPr>
            <w:r>
              <w:t>Held the payment and told the approver.</w:t>
            </w:r>
          </w:p>
        </w:tc>
      </w:tr>
    </w:tbl>
    <w:p>
      <w:pPr>
        <w:spacing w:before="160"/>
      </w:pPr>
      <w:r>
        <w:t>These descriptions are prompts for written feedback. Do not add them up into a score: a decision that checks the record but still pays the invoice has failed the case.</w:t>
      </w:r>
    </w:p>
    <w:p>
      <w:pPr>
        <w:keepNext/>
        <w:spacing w:before="240" w:after="80"/>
      </w:pPr>
      <w:r>
        <w:rPr>
          <w:b/>
          <w:color w:val="5D008F"/>
          <w:sz w:val="28"/>
        </w:rPr>
        <w:t>Worked example: my checklist for the next request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spacing w:before="60" w:after="60"/>
            </w:pPr>
            <w:r/>
            <w:r>
              <w:rPr>
                <w:b/>
                <w:color w:val="FFFFFF"/>
              </w:rPr>
              <w:t>My check</w:t>
            </w:r>
          </w:p>
        </w:tc>
        <w:tc>
          <w:tcPr>
            <w:tcW w:type="dxa" w:w="4819"/>
            <w:shd w:val="clear" w:color="auto" w:fill="5D008F"/>
          </w:tcPr>
          <w:p>
            <w:pPr>
              <w:spacing w:before="60" w:after="60"/>
            </w:pPr>
            <w:r/>
            <w:r>
              <w:rPr>
                <w:b/>
                <w:color w:val="FFFFFF"/>
              </w:rPr>
              <w:t>Why</w:t>
            </w:r>
          </w:p>
        </w:tc>
      </w:tr>
      <w:tr>
        <w:trPr>
          <w:cantSplit w:val="true"/>
        </w:trPr>
        <w:tc>
          <w:tcPr>
            <w:tcW w:type="dxa" w:w="4819"/>
          </w:tcPr>
          <w:p>
            <w:pPr>
              <w:spacing w:before="60" w:after="60"/>
            </w:pPr>
            <w:r>
              <w:rPr>
                <w:b/>
              </w:rPr>
              <w:t>Compare the sender's address with the contact in the vendor master, letter by letter</w:t>
            </w:r>
          </w:p>
        </w:tc>
        <w:tc>
          <w:tcPr>
            <w:tcW w:type="dxa" w:w="4819"/>
          </w:tcPr>
          <w:p>
            <w:pPr>
              <w:spacing w:before="60" w:after="60"/>
            </w:pPr>
            <w:r>
              <w:t>A near-match domain looks right at a glance</w:t>
            </w:r>
          </w:p>
        </w:tc>
      </w:tr>
      <w:tr>
        <w:trPr>
          <w:cantSplit w:val="true"/>
        </w:trPr>
        <w:tc>
          <w:tcPr>
            <w:tcW w:type="dxa" w:w="4819"/>
            <w:shd w:val="clear" w:color="auto" w:fill="F7F0FB"/>
          </w:tcPr>
          <w:p>
            <w:pPr>
              <w:spacing w:before="60" w:after="60"/>
            </w:pPr>
            <w:r>
              <w:rPr>
                <w:b/>
              </w:rPr>
              <w:t>Look at the change history for this supplier</w:t>
            </w:r>
          </w:p>
        </w:tc>
        <w:tc>
          <w:tcPr>
            <w:tcW w:type="dxa" w:w="4819"/>
            <w:shd w:val="clear" w:color="auto" w:fill="F7F0FB"/>
          </w:tcPr>
          <w:p>
            <w:pPr>
              <w:spacing w:before="60" w:after="60"/>
            </w:pPr>
            <w:r>
              <w:t>A first change in years needs a closer look</w:t>
            </w:r>
          </w:p>
        </w:tc>
      </w:tr>
      <w:tr>
        <w:trPr>
          <w:cantSplit w:val="true"/>
        </w:trPr>
        <w:tc>
          <w:tcPr>
            <w:tcW w:type="dxa" w:w="4819"/>
          </w:tcPr>
          <w:p>
            <w:pPr>
              <w:spacing w:before="60" w:after="60"/>
            </w:pPr>
            <w:r>
              <w:rPr>
                <w:b/>
              </w:rPr>
              <w:t>Call the number already on file, never one in the request</w:t>
            </w:r>
          </w:p>
        </w:tc>
        <w:tc>
          <w:tcPr>
            <w:tcW w:type="dxa" w:w="4819"/>
          </w:tcPr>
          <w:p>
            <w:pPr>
              <w:spacing w:before="60" w:after="60"/>
            </w:pPr>
            <w:r>
              <w:t>The procedure says so, and the request's number may be the fraudster's</w:t>
            </w:r>
          </w:p>
        </w:tc>
      </w:tr>
      <w:tr>
        <w:trPr>
          <w:cantSplit w:val="true"/>
        </w:trPr>
        <w:tc>
          <w:tcPr>
            <w:tcW w:type="dxa" w:w="4819"/>
            <w:shd w:val="clear" w:color="auto" w:fill="F7F0FB"/>
          </w:tcPr>
          <w:p>
            <w:pPr>
              <w:spacing w:before="60" w:after="60"/>
            </w:pPr>
            <w:r>
              <w:rPr>
                <w:b/>
              </w:rPr>
              <w:t>Get a second officer's approval before the next payment</w:t>
            </w:r>
          </w:p>
        </w:tc>
        <w:tc>
          <w:tcPr>
            <w:tcW w:type="dxa" w:w="4819"/>
            <w:shd w:val="clear" w:color="auto" w:fill="F7F0FB"/>
          </w:tcPr>
          <w:p>
            <w:pPr>
              <w:spacing w:before="60" w:after="60"/>
            </w:pPr>
            <w:r>
              <w:t>The procedure requires it</w:t>
            </w:r>
          </w:p>
        </w:tc>
      </w:tr>
      <w:tr>
        <w:trPr>
          <w:cantSplit w:val="true"/>
        </w:trPr>
        <w:tc>
          <w:tcPr>
            <w:tcW w:type="dxa" w:w="4819"/>
          </w:tcPr>
          <w:p>
            <w:pPr>
              <w:spacing w:before="60" w:after="60"/>
            </w:pPr>
            <w:r>
              <w:rPr>
                <w:b/>
              </w:rPr>
              <w:t>Hold any payment due before the change is verified</w:t>
            </w:r>
          </w:p>
        </w:tc>
        <w:tc>
          <w:tcPr>
            <w:tcW w:type="dxa" w:w="4819"/>
          </w:tcPr>
          <w:p>
            <w:pPr>
              <w:spacing w:before="60" w:after="60"/>
            </w:pPr>
            <w:r>
              <w:t>Paying first cannot be undone easily</w:t>
            </w:r>
          </w:p>
        </w:tc>
      </w:tr>
    </w:tbl>
    <w:p>
      <w:pPr>
        <w:keepNext/>
        <w:pageBreakBefore/>
        <w:spacing w:before="240" w:after="80"/>
      </w:pPr>
      <w:r>
        <w:rPr>
          <w:b/>
          <w:color w:val="5D008F"/>
          <w:sz w:val="28"/>
        </w:rPr>
        <w:t>Your case: first and final answers</w:t>
      </w:r>
    </w:p>
    <w:p>
      <w:r>
        <w:t>Case: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r>
          </w:p>
        </w:tc>
        <w:tc>
          <w:tcPr>
            <w:tcW w:type="dxa" w:w="7654"/>
            <w:shd w:val="clear" w:color="auto" w:fill="5D008F"/>
          </w:tcPr>
          <w:p>
            <w:pPr>
              <w:spacing w:before="60" w:after="60"/>
            </w:pPr>
            <w:r/>
            <w:r>
              <w:rPr>
                <w:b/>
                <w:color w:val="FFFFFF"/>
              </w:rPr>
              <w:t>Your answer</w:t>
            </w:r>
          </w:p>
        </w:tc>
      </w:tr>
      <w:tr>
        <w:trPr>
          <w:cantSplit w:val="true"/>
          <w:trHeight w:val="2154"/>
        </w:trPr>
        <w:tc>
          <w:tcPr>
            <w:tcW w:type="dxa" w:w="1984"/>
          </w:tcPr>
          <w:p>
            <w:pPr>
              <w:spacing w:before="60" w:after="60"/>
            </w:pPr>
            <w:r>
              <w:rPr>
                <w:b/>
              </w:rPr>
              <w:t>First answer</w:t>
            </w:r>
          </w:p>
        </w:tc>
        <w:tc>
          <w:tcPr>
            <w:tcW w:type="dxa" w:w="7654"/>
          </w:tcPr>
          <w:p>
            <w:pPr>
              <w:spacing w:before="60" w:after="60"/>
            </w:pPr>
            <w:r/>
          </w:p>
        </w:tc>
      </w:tr>
      <w:tr>
        <w:trPr>
          <w:cantSplit w:val="true"/>
          <w:trHeight w:val="2154"/>
        </w:trPr>
        <w:tc>
          <w:tcPr>
            <w:tcW w:type="dxa" w:w="1984"/>
            <w:shd w:val="clear" w:color="auto" w:fill="F7F0FB"/>
          </w:tcPr>
          <w:p>
            <w:pPr>
              <w:spacing w:before="60" w:after="60"/>
            </w:pPr>
            <w:r>
              <w:rPr>
                <w:b/>
              </w:rPr>
              <w:t>Final answer</w:t>
            </w:r>
          </w:p>
        </w:tc>
        <w:tc>
          <w:tcPr>
            <w:tcW w:type="dxa" w:w="7654"/>
            <w:shd w:val="clear" w:color="auto" w:fill="F7F0FB"/>
          </w:tcPr>
          <w:p>
            <w:pPr>
              <w:spacing w:before="60" w:after="60"/>
            </w:pPr>
            <w:r/>
          </w:p>
        </w:tc>
      </w:tr>
      <w:tr>
        <w:trPr>
          <w:cantSplit w:val="true"/>
          <w:trHeight w:val="2154"/>
        </w:trPr>
        <w:tc>
          <w:tcPr>
            <w:tcW w:type="dxa" w:w="1984"/>
          </w:tcPr>
          <w:p>
            <w:pPr>
              <w:spacing w:before="60" w:after="60"/>
            </w:pPr>
            <w:r>
              <w:rPr>
                <w:b/>
              </w:rPr>
              <w:t>What changed in my reasoning</w:t>
            </w:r>
          </w:p>
        </w:tc>
        <w:tc>
          <w:tcPr>
            <w:tcW w:type="dxa" w:w="7654"/>
          </w:tcPr>
          <w:p>
            <w:pPr>
              <w:spacing w:before="60" w:after="60"/>
            </w:pPr>
            <w:r/>
          </w:p>
        </w:tc>
      </w:tr>
    </w:tbl>
    <w:p>
      <w:pPr>
        <w:keepNext/>
        <w:pageBreakBefore/>
        <w:spacing w:before="240" w:after="80"/>
      </w:pPr>
      <w:r>
        <w:rPr>
          <w:b/>
          <w:color w:val="5D008F"/>
          <w:sz w:val="28"/>
        </w:rPr>
        <w:t>Your case: comparing colleagues' reasoning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spacing w:before="60" w:after="60"/>
            </w:pPr>
            <w:r/>
            <w:r>
              <w:rPr>
                <w:b/>
                <w:color w:val="FFFFFF"/>
              </w:rPr>
              <w:t>Colleague's decision</w:t>
            </w:r>
          </w:p>
        </w:tc>
        <w:tc>
          <w:tcPr>
            <w:tcW w:type="dxa" w:w="3685"/>
            <w:shd w:val="clear" w:color="auto" w:fill="5D008F"/>
          </w:tcPr>
          <w:p>
            <w:pPr>
              <w:spacing w:before="60" w:after="60"/>
            </w:pPr>
            <w:r/>
            <w:r>
              <w:rPr>
                <w:b/>
                <w:color w:val="FFFFFF"/>
              </w:rPr>
              <w:t>Their reasoning</w:t>
            </w:r>
          </w:p>
        </w:tc>
        <w:tc>
          <w:tcPr>
            <w:tcW w:type="dxa" w:w="3685"/>
            <w:shd w:val="clear" w:color="auto" w:fill="5D008F"/>
          </w:tcPr>
          <w:p>
            <w:pPr>
              <w:spacing w:before="60" w:after="60"/>
            </w:pPr>
            <w:r/>
            <w:r>
              <w:rPr>
                <w:b/>
                <w:color w:val="FFFFFF"/>
              </w:rPr>
              <w:t>Do I agree, and why?</w:t>
            </w:r>
          </w:p>
        </w:tc>
      </w:tr>
      <w:tr>
        <w:trPr>
          <w:cantSplit w:val="true"/>
          <w:trHeight w:val="1814"/>
        </w:trPr>
        <w:tc>
          <w:tcPr>
            <w:tcW w:type="dxa" w:w="2268"/>
          </w:tcPr>
          <w:p>
            <w:pPr>
              <w:spacing w:before="60" w:after="60"/>
            </w:pPr>
            <w:r>
              <w:rPr>
                <w:b/>
              </w:rPr>
            </w:r>
          </w:p>
        </w:tc>
        <w:tc>
          <w:tcPr>
            <w:tcW w:type="dxa" w:w="3685"/>
          </w:tcPr>
          <w:p>
            <w:pPr>
              <w:spacing w:before="60" w:after="60"/>
            </w:pPr>
            <w:r/>
          </w:p>
        </w:tc>
        <w:tc>
          <w:tcPr>
            <w:tcW w:type="dxa" w:w="3685"/>
          </w:tcPr>
          <w:p>
            <w:pPr>
              <w:spacing w:before="60" w:after="60"/>
            </w:pPr>
            <w:r/>
          </w:p>
        </w:tc>
      </w:tr>
      <w:tr>
        <w:trPr>
          <w:cantSplit w:val="true"/>
          <w:trHeight w:val="1814"/>
        </w:trPr>
        <w:tc>
          <w:tcPr>
            <w:tcW w:type="dxa" w:w="2268"/>
            <w:shd w:val="clear" w:color="auto" w:fill="F7F0FB"/>
          </w:tcPr>
          <w:p>
            <w:pPr>
              <w:spacing w:before="60" w:after="60"/>
            </w:pPr>
            <w:r>
              <w:rPr>
                <w:b/>
              </w:rPr>
            </w:r>
          </w:p>
        </w:tc>
        <w:tc>
          <w:tcPr>
            <w:tcW w:type="dxa" w:w="3685"/>
            <w:shd w:val="clear" w:color="auto" w:fill="F7F0FB"/>
          </w:tcPr>
          <w:p>
            <w:pPr>
              <w:spacing w:before="60" w:after="60"/>
            </w:pPr>
            <w:r/>
          </w:p>
        </w:tc>
        <w:tc>
          <w:tcPr>
            <w:tcW w:type="dxa" w:w="3685"/>
            <w:shd w:val="clear" w:color="auto" w:fill="F7F0FB"/>
          </w:tcPr>
          <w:p>
            <w:pPr>
              <w:spacing w:before="60" w:after="60"/>
            </w:pPr>
            <w:r/>
          </w:p>
        </w:tc>
      </w:tr>
    </w:tbl>
    <w:p>
      <w:pPr>
        <w:keepNext/>
        <w:spacing w:before="240" w:after="80"/>
      </w:pPr>
      <w:r>
        <w:rPr>
          <w:b/>
          <w:color w:val="5D008F"/>
          <w:sz w:val="28"/>
        </w:rPr>
        <w:t>Your case: checking the final decision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Criterion</w:t>
            </w:r>
          </w:p>
        </w:tc>
        <w:tc>
          <w:tcPr>
            <w:tcW w:type="dxa" w:w="1814"/>
            <w:shd w:val="clear" w:color="auto" w:fill="5D008F"/>
          </w:tcPr>
          <w:p>
            <w:pPr>
              <w:spacing w:before="60" w:after="60"/>
            </w:pPr>
            <w:r/>
            <w:r>
              <w:rPr>
                <w:b/>
                <w:color w:val="FFFFFF"/>
              </w:rPr>
              <w:t>Not yet</w:t>
            </w:r>
          </w:p>
        </w:tc>
        <w:tc>
          <w:tcPr>
            <w:tcW w:type="dxa" w:w="1814"/>
            <w:shd w:val="clear" w:color="auto" w:fill="5D008F"/>
          </w:tcPr>
          <w:p>
            <w:pPr>
              <w:spacing w:before="60" w:after="60"/>
            </w:pPr>
            <w:r/>
            <w:r>
              <w:rPr>
                <w:b/>
                <w:color w:val="FFFFFF"/>
              </w:rPr>
              <w:t>Meets</w:t>
            </w:r>
          </w:p>
        </w:tc>
        <w:tc>
          <w:tcPr>
            <w:tcW w:type="dxa" w:w="1814"/>
            <w:shd w:val="clear" w:color="auto" w:fill="5D008F"/>
          </w:tcPr>
          <w:p>
            <w:pPr>
              <w:spacing w:before="60" w:after="60"/>
            </w:pPr>
            <w:r/>
            <w:r>
              <w:rPr>
                <w:b/>
                <w:color w:val="FFFFFF"/>
              </w:rPr>
              <w:t>Goes further</w:t>
            </w:r>
          </w:p>
        </w:tc>
        <w:tc>
          <w:tcPr>
            <w:tcW w:type="dxa" w:w="2154"/>
            <w:shd w:val="clear" w:color="auto" w:fill="5D008F"/>
          </w:tcPr>
          <w:p>
            <w:pPr>
              <w:spacing w:before="60" w:after="60"/>
            </w:pPr>
            <w:r/>
            <w:r>
              <w:rPr>
                <w:b/>
                <w:color w:val="FFFFFF"/>
              </w:rPr>
              <w:t>Feedback note</w:t>
            </w:r>
          </w:p>
        </w:tc>
      </w:tr>
      <w:tr>
        <w:trPr>
          <w:cantSplit w:val="true"/>
          <w:trHeight w:val="1361"/>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1814"/>
          </w:tcPr>
          <w:p>
            <w:pPr>
              <w:spacing w:before="60" w:after="60"/>
            </w:pPr>
            <w:r/>
          </w:p>
        </w:tc>
        <w:tc>
          <w:tcPr>
            <w:tcW w:type="dxa" w:w="2154"/>
          </w:tcPr>
          <w:p>
            <w:pPr>
              <w:spacing w:before="60" w:after="60"/>
            </w:pPr>
            <w:r/>
          </w:p>
        </w:tc>
      </w:tr>
      <w:tr>
        <w:trPr>
          <w:cantSplit w:val="true"/>
          <w:trHeight w:val="1361"/>
        </w:trPr>
        <w:tc>
          <w:tcPr>
            <w:tcW w:type="dxa" w:w="2041"/>
            <w:shd w:val="clear" w:color="auto" w:fill="F7F0FB"/>
          </w:tcPr>
          <w:p>
            <w:pPr>
              <w:spacing w:before="60" w:after="60"/>
            </w:pPr>
            <w:r>
              <w:rPr>
                <w:b/>
              </w:r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2154"/>
            <w:shd w:val="clear" w:color="auto" w:fill="F7F0FB"/>
          </w:tcPr>
          <w:p>
            <w:pPr>
              <w:spacing w:before="60" w:after="60"/>
            </w:pPr>
            <w:r/>
          </w:p>
        </w:tc>
      </w:tr>
      <w:tr>
        <w:trPr>
          <w:cantSplit w:val="true"/>
          <w:trHeight w:val="1361"/>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1814"/>
          </w:tcPr>
          <w:p>
            <w:pPr>
              <w:spacing w:before="60" w:after="60"/>
            </w:pPr>
            <w:r/>
          </w:p>
        </w:tc>
        <w:tc>
          <w:tcPr>
            <w:tcW w:type="dxa" w:w="2154"/>
          </w:tcPr>
          <w:p>
            <w:pPr>
              <w:spacing w:before="60" w:after="60"/>
            </w:pPr>
            <w:r/>
          </w:p>
        </w:tc>
      </w:tr>
    </w:tbl>
    <w:p>
      <w:pPr>
        <w:keepNext/>
        <w:pageBreakBefore/>
        <w:spacing w:before="240" w:after="80"/>
      </w:pPr>
      <w:r>
        <w:rPr>
          <w:b/>
          <w:color w:val="5D008F"/>
          <w:sz w:val="28"/>
        </w:rPr>
        <w:t>Your checklist for the next case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spacing w:before="60" w:after="60"/>
            </w:pPr>
            <w:r/>
            <w:r>
              <w:rPr>
                <w:b/>
                <w:color w:val="FFFFFF"/>
              </w:rPr>
              <w:t>My check</w:t>
            </w:r>
          </w:p>
        </w:tc>
        <w:tc>
          <w:tcPr>
            <w:tcW w:type="dxa" w:w="4819"/>
            <w:shd w:val="clear" w:color="auto" w:fill="5D008F"/>
          </w:tcPr>
          <w:p>
            <w:pPr>
              <w:spacing w:before="60" w:after="60"/>
            </w:pPr>
            <w:r/>
            <w:r>
              <w:rPr>
                <w:b/>
                <w:color w:val="FFFFFF"/>
              </w:rPr>
              <w:t>Why</w:t>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bl>
    <w:p>
      <w:pPr>
        <w:spacing w:before="160"/>
      </w:pPr>
      <w:r>
        <w:rPr>
          <w:i/>
          <w:color w:val="5A5766"/>
        </w:rPr>
        <w:t>Coursebox's own adaptation of the articulation and reflection methods described in Collins, A., Brown, J. S. and Holum, A. (1991) Cognitive apprenticeship: Making thinking visible. American Educator, 15(3). The criteria descriptions are planning prompts, not a validated rubric, and this sheet gives no score. Check on the job whether the checklist is used.</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