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Dick and Carey Planning Worksheet</w:t>
      </w:r>
    </w:p>
    <w:p>
      <w:r>
        <w:rPr>
          <w:color w:val="5A5766"/>
          <w:sz w:val="22"/>
        </w:rPr>
        <w:t>Plan a course with the ten steps of the Dick and Carey model, with the smart-meter technician example filled in.</w:t>
      </w:r>
    </w:p>
    <w:p>
      <w:r>
        <w:rPr>
          <w:i/>
          <w:color w:val="5A5766"/>
          <w:sz w:val="18"/>
        </w:rPr>
        <w:t>From the Coursebox blog: coursebox.ai/blog/dick-and-carey-model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How to use this worksheet</w:t>
      </w:r>
    </w:p>
    <w:p>
      <w:pPr>
        <w:pStyle w:val="ListBullet"/>
      </w:pPr>
      <w:r>
        <w:t>Analyse the task and learners in parallel. Return to earlier decisions whenever feedback reveals a problem.</w:t>
      </w:r>
    </w:p>
    <w:p>
      <w:pPr>
        <w:pStyle w:val="ListBullet"/>
      </w:pPr>
      <w:r>
        <w:t>Write the assessments in step 5 before you build any content.</w:t>
      </w:r>
    </w:p>
    <w:p>
      <w:pPr>
        <w:pStyle w:val="ListBullet"/>
      </w:pPr>
      <w:r>
        <w:t>Verify prerequisite performance. A licence alone does not establish every entry skill.</w:t>
      </w:r>
    </w:p>
    <w:p>
      <w:pPr>
        <w:pStyle w:val="ListBullet"/>
      </w:pPr>
      <w:r>
        <w:t>Use the last page to write each performance objective with its three parts.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1. Analyse and design (steps 1 to 5)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249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Step</w:t>
            </w:r>
          </w:p>
        </w:tc>
        <w:tc>
          <w:tcPr>
            <w:tcW w:type="dxa" w:w="249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Question to answer</w:t>
            </w:r>
          </w:p>
        </w:tc>
        <w:tc>
          <w:tcPr>
            <w:tcW w:type="dxa" w:w="249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Smart-meter example</w:t>
            </w:r>
          </w:p>
        </w:tc>
        <w:tc>
          <w:tcPr>
            <w:tcW w:type="dxa" w:w="249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Your plan</w:t>
            </w:r>
          </w:p>
        </w:tc>
      </w:tr>
      <w:tr>
        <w:trPr>
          <w:cantSplit w:val="true"/>
          <w:trHeight w:val="907"/>
        </w:trPr>
        <w:tc>
          <w:tcPr>
            <w:tcW w:type="dxa" w:w="2493"/>
          </w:tcPr>
          <w:p>
            <w:pPr>
              <w:spacing w:before="60" w:after="60"/>
            </w:pPr>
            <w:r>
              <w:rPr>
                <w:b/>
              </w:rPr>
              <w:t>1. Identify instructional goals</w:t>
            </w:r>
          </w:p>
        </w:tc>
        <w:tc>
          <w:tcPr>
            <w:tcW w:type="dxa" w:w="2493"/>
          </w:tcPr>
          <w:p>
            <w:pPr>
              <w:spacing w:before="60" w:after="60"/>
            </w:pPr>
            <w:r>
              <w:t>What must people be able to do at work?</w:t>
            </w:r>
          </w:p>
        </w:tc>
        <w:tc>
          <w:tcPr>
            <w:tcW w:type="dxa" w:w="2493"/>
          </w:tcPr>
          <w:p>
            <w:pPr>
              <w:spacing w:before="60" w:after="60"/>
            </w:pPr>
            <w:r>
              <w:t>Replace a residential meter safely, restore supply and record the job</w:t>
            </w:r>
          </w:p>
        </w:tc>
        <w:tc>
          <w:tcPr>
            <w:tcW w:type="dxa" w:w="2493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2493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2. Conduct instructional analysis</w:t>
            </w:r>
          </w:p>
        </w:tc>
        <w:tc>
          <w:tcPr>
            <w:tcW w:type="dxa" w:w="2493"/>
            <w:shd w:val="clear" w:color="auto" w:fill="F7F0FB"/>
          </w:tcPr>
          <w:p>
            <w:pPr>
              <w:spacing w:before="60" w:after="60"/>
            </w:pPr>
            <w:r>
              <w:t>What are the main steps, subordinate skills and entry skills?</w:t>
            </w:r>
          </w:p>
        </w:tc>
        <w:tc>
          <w:tcPr>
            <w:tcW w:type="dxa" w:w="2493"/>
            <w:shd w:val="clear" w:color="auto" w:fill="F7F0FB"/>
          </w:tcPr>
          <w:p>
            <w:pPr>
              <w:spacing w:before="60" w:after="60"/>
            </w:pPr>
            <w:r>
              <w:t>Expert maps the approved procedure and verifies prerequisite skills</w:t>
            </w:r>
          </w:p>
        </w:tc>
        <w:tc>
          <w:tcPr>
            <w:tcW w:type="dxa" w:w="2493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2493"/>
          </w:tcPr>
          <w:p>
            <w:pPr>
              <w:spacing w:before="60" w:after="60"/>
            </w:pPr>
            <w:r>
              <w:rPr>
                <w:b/>
              </w:rPr>
              <w:t>3. Analyse learners and contexts</w:t>
            </w:r>
          </w:p>
        </w:tc>
        <w:tc>
          <w:tcPr>
            <w:tcW w:type="dxa" w:w="2493"/>
          </w:tcPr>
          <w:p>
            <w:pPr>
              <w:spacing w:before="60" w:after="60"/>
            </w:pPr>
            <w:r>
              <w:t>Who are the learners, and where do they learn and perform?</w:t>
            </w:r>
          </w:p>
        </w:tc>
        <w:tc>
          <w:tcPr>
            <w:tcW w:type="dxa" w:w="2493"/>
          </w:tcPr>
          <w:p>
            <w:pPr>
              <w:spacing w:before="60" w:after="60"/>
            </w:pPr>
            <w:r>
              <w:t>Licensed electricians new to meters; learn on a tablet between jobs; work alone in homes</w:t>
            </w:r>
          </w:p>
        </w:tc>
        <w:tc>
          <w:tcPr>
            <w:tcW w:type="dxa" w:w="2493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2493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4. Write performance objectives</w:t>
            </w:r>
          </w:p>
        </w:tc>
        <w:tc>
          <w:tcPr>
            <w:tcW w:type="dxa" w:w="2493"/>
            <w:shd w:val="clear" w:color="auto" w:fill="F7F0FB"/>
          </w:tcPr>
          <w:p>
            <w:pPr>
              <w:spacing w:before="60" w:after="60"/>
            </w:pPr>
            <w:r>
              <w:t>What will they do, under what conditions, to what standard?</w:t>
            </w:r>
          </w:p>
        </w:tc>
        <w:tc>
          <w:tcPr>
            <w:tcW w:type="dxa" w:w="2493"/>
            <w:shd w:val="clear" w:color="auto" w:fill="F7F0FB"/>
          </w:tcPr>
          <w:p>
            <w:pPr>
              <w:spacing w:before="60" w:after="60"/>
            </w:pPr>
            <w:r>
              <w:t>On an approved training rig, meet each safety-critical criterion under a qualified assessor</w:t>
            </w:r>
          </w:p>
        </w:tc>
        <w:tc>
          <w:tcPr>
            <w:tcW w:type="dxa" w:w="2493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2493"/>
          </w:tcPr>
          <w:p>
            <w:pPr>
              <w:spacing w:before="60" w:after="60"/>
            </w:pPr>
            <w:r>
              <w:rPr>
                <w:b/>
              </w:rPr>
              <w:t>5. Develop assessment instruments</w:t>
            </w:r>
          </w:p>
        </w:tc>
        <w:tc>
          <w:tcPr>
            <w:tcW w:type="dxa" w:w="2493"/>
          </w:tcPr>
          <w:p>
            <w:pPr>
              <w:spacing w:before="60" w:after="60"/>
            </w:pPr>
            <w:r>
              <w:t>How will each objective be checked?</w:t>
            </w:r>
          </w:p>
        </w:tc>
        <w:tc>
          <w:tcPr>
            <w:tcW w:type="dxa" w:w="2493"/>
          </w:tcPr>
          <w:p>
            <w:pPr>
              <w:spacing w:before="60" w:after="60"/>
            </w:pPr>
            <w:r>
              <w:t>Scenario decisions plus observed practical assessment</w:t>
            </w:r>
          </w:p>
        </w:tc>
        <w:tc>
          <w:tcPr>
            <w:tcW w:type="dxa" w:w="2493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2. Build, test and evaluate (steps 6 to 10)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249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Step</w:t>
            </w:r>
          </w:p>
        </w:tc>
        <w:tc>
          <w:tcPr>
            <w:tcW w:type="dxa" w:w="249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Question to answer</w:t>
            </w:r>
          </w:p>
        </w:tc>
        <w:tc>
          <w:tcPr>
            <w:tcW w:type="dxa" w:w="249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Smart-meter example</w:t>
            </w:r>
          </w:p>
        </w:tc>
        <w:tc>
          <w:tcPr>
            <w:tcW w:type="dxa" w:w="249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Your plan</w:t>
            </w:r>
          </w:p>
        </w:tc>
      </w:tr>
      <w:tr>
        <w:trPr>
          <w:cantSplit w:val="true"/>
          <w:trHeight w:val="907"/>
        </w:trPr>
        <w:tc>
          <w:tcPr>
            <w:tcW w:type="dxa" w:w="2493"/>
          </w:tcPr>
          <w:p>
            <w:pPr>
              <w:spacing w:before="60" w:after="60"/>
            </w:pPr>
            <w:r>
              <w:rPr>
                <w:b/>
              </w:rPr>
              <w:t>6. Develop instructional strategy</w:t>
            </w:r>
          </w:p>
        </w:tc>
        <w:tc>
          <w:tcPr>
            <w:tcW w:type="dxa" w:w="2493"/>
          </w:tcPr>
          <w:p>
            <w:pPr>
              <w:spacing w:before="60" w:after="60"/>
            </w:pPr>
            <w:r>
              <w:t>How will each objective be taught and practised?</w:t>
            </w:r>
          </w:p>
        </w:tc>
        <w:tc>
          <w:tcPr>
            <w:tcW w:type="dxa" w:w="2493"/>
          </w:tcPr>
          <w:p>
            <w:pPr>
              <w:spacing w:before="60" w:after="60"/>
            </w:pPr>
            <w:r>
              <w:t>Demonstration, scenarios and supervised practice</w:t>
            </w:r>
          </w:p>
        </w:tc>
        <w:tc>
          <w:tcPr>
            <w:tcW w:type="dxa" w:w="2493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2493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7. Develop and select materials</w:t>
            </w:r>
          </w:p>
        </w:tc>
        <w:tc>
          <w:tcPr>
            <w:tcW w:type="dxa" w:w="2493"/>
            <w:shd w:val="clear" w:color="auto" w:fill="F7F0FB"/>
          </w:tcPr>
          <w:p>
            <w:pPr>
              <w:spacing w:before="60" w:after="60"/>
            </w:pPr>
            <w:r>
              <w:t>What will learners use?</w:t>
            </w:r>
          </w:p>
        </w:tc>
        <w:tc>
          <w:tcPr>
            <w:tcW w:type="dxa" w:w="2493"/>
            <w:shd w:val="clear" w:color="auto" w:fill="F7F0FB"/>
          </w:tcPr>
          <w:p>
            <w:pPr>
              <w:spacing w:before="60" w:after="60"/>
            </w:pPr>
            <w:r>
              <w:t>Six lessons, demonstration videos, scenarios and a van job aid</w:t>
            </w:r>
          </w:p>
        </w:tc>
        <w:tc>
          <w:tcPr>
            <w:tcW w:type="dxa" w:w="2493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2493"/>
          </w:tcPr>
          <w:p>
            <w:pPr>
              <w:spacing w:before="60" w:after="60"/>
            </w:pPr>
            <w:r>
              <w:rPr>
                <w:b/>
              </w:rPr>
              <w:t>8. Design and conduct formative evaluation</w:t>
            </w:r>
          </w:p>
        </w:tc>
        <w:tc>
          <w:tcPr>
            <w:tcW w:type="dxa" w:w="2493"/>
          </w:tcPr>
          <w:p>
            <w:pPr>
              <w:spacing w:before="60" w:after="60"/>
            </w:pPr>
            <w:r>
              <w:t>Who will try the draft, in which round?</w:t>
            </w:r>
          </w:p>
        </w:tc>
        <w:tc>
          <w:tcPr>
            <w:tcW w:type="dxa" w:w="2493"/>
          </w:tcPr>
          <w:p>
            <w:pPr>
              <w:spacing w:before="60" w:after="60"/>
            </w:pPr>
            <w:r>
              <w:t>Expert review and supervised trials on an approved de-energised rig</w:t>
            </w:r>
          </w:p>
        </w:tc>
        <w:tc>
          <w:tcPr>
            <w:tcW w:type="dxa" w:w="2493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2493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9. Revise instruction</w:t>
            </w:r>
          </w:p>
        </w:tc>
        <w:tc>
          <w:tcPr>
            <w:tcW w:type="dxa" w:w="2493"/>
            <w:shd w:val="clear" w:color="auto" w:fill="F7F0FB"/>
          </w:tcPr>
          <w:p>
            <w:pPr>
              <w:spacing w:before="60" w:after="60"/>
            </w:pPr>
            <w:r>
              <w:t>What failed, and which step caused it?</w:t>
            </w:r>
          </w:p>
        </w:tc>
        <w:tc>
          <w:tcPr>
            <w:tcW w:type="dxa" w:w="2493"/>
            <w:shd w:val="clear" w:color="auto" w:fill="F7F0FB"/>
          </w:tcPr>
          <w:p>
            <w:pPr>
              <w:spacing w:before="60" w:after="60"/>
            </w:pPr>
            <w:r>
              <w:t>Move the unsafe-installation check to the start of the job</w:t>
            </w:r>
          </w:p>
        </w:tc>
        <w:tc>
          <w:tcPr>
            <w:tcW w:type="dxa" w:w="2493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2493"/>
          </w:tcPr>
          <w:p>
            <w:pPr>
              <w:spacing w:before="60" w:after="60"/>
            </w:pPr>
            <w:r>
              <w:rPr>
                <w:b/>
              </w:rPr>
              <w:t>10. Design and conduct summative evaluation</w:t>
            </w:r>
          </w:p>
        </w:tc>
        <w:tc>
          <w:tcPr>
            <w:tcW w:type="dxa" w:w="2493"/>
          </w:tcPr>
          <w:p>
            <w:pPr>
              <w:spacing w:before="60" w:after="60"/>
            </w:pPr>
            <w:r>
              <w:t>Should we keep, adopt or replace the training?</w:t>
            </w:r>
          </w:p>
        </w:tc>
        <w:tc>
          <w:tcPr>
            <w:tcW w:type="dxa" w:w="2493"/>
          </w:tcPr>
          <w:p>
            <w:pPr>
              <w:spacing w:before="60" w:after="60"/>
            </w:pPr>
            <w:r>
              <w:t>Review practical and audit evidence, recording other changes</w:t>
            </w:r>
          </w:p>
        </w:tc>
        <w:tc>
          <w:tcPr>
            <w:tcW w:type="dxa" w:w="2493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3. Performance objective builder</w:t>
      </w:r>
    </w:p>
    <w:p>
      <w:r>
        <w:t>Write conditions, behaviour and assessment criteria. Technical procedures and competence requirements come from qualified experts and applicable local standards.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249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Conditions</w:t>
            </w:r>
          </w:p>
        </w:tc>
        <w:tc>
          <w:tcPr>
            <w:tcW w:type="dxa" w:w="249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Behaviour</w:t>
            </w:r>
          </w:p>
        </w:tc>
        <w:tc>
          <w:tcPr>
            <w:tcW w:type="dxa" w:w="249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Criteria</w:t>
            </w:r>
          </w:p>
        </w:tc>
        <w:tc>
          <w:tcPr>
            <w:tcW w:type="dxa" w:w="249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Matching assessment</w:t>
            </w:r>
          </w:p>
        </w:tc>
      </w:tr>
      <w:tr>
        <w:trPr>
          <w:cantSplit w:val="true"/>
          <w:trHeight w:val="794"/>
        </w:trPr>
        <w:tc>
          <w:tcPr>
            <w:tcW w:type="dxa" w:w="2493"/>
          </w:tcPr>
          <w:p>
            <w:pPr>
              <w:spacing w:before="60" w:after="60"/>
            </w:pPr>
            <w:r>
              <w:rPr>
                <w:b/>
              </w:rPr>
              <w:t>Approved de-energised rig, procedure and equipment</w:t>
            </w:r>
          </w:p>
        </w:tc>
        <w:tc>
          <w:tcPr>
            <w:tcW w:type="dxa" w:w="2493"/>
          </w:tcPr>
          <w:p>
            <w:pPr>
              <w:spacing w:before="60" w:after="60"/>
            </w:pPr>
            <w:r>
              <w:t>Completes the specified isolation and verification sequence</w:t>
            </w:r>
          </w:p>
        </w:tc>
        <w:tc>
          <w:tcPr>
            <w:tcW w:type="dxa" w:w="2493"/>
          </w:tcPr>
          <w:p>
            <w:pPr>
              <w:spacing w:before="60" w:after="60"/>
            </w:pPr>
            <w:r>
              <w:t>Meets all safety-critical criteria in the approved checklist</w:t>
            </w:r>
          </w:p>
        </w:tc>
        <w:tc>
          <w:tcPr>
            <w:tcW w:type="dxa" w:w="2493"/>
          </w:tcPr>
          <w:p>
            <w:pPr>
              <w:spacing w:before="60" w:after="60"/>
            </w:pPr>
            <w:r>
              <w:t>Observed practical assessment by a qualified assessor</w:t>
            </w:r>
          </w:p>
        </w:tc>
      </w:tr>
      <w:tr>
        <w:trPr>
          <w:cantSplit w:val="true"/>
          <w:trHeight w:val="794"/>
        </w:trPr>
        <w:tc>
          <w:tcPr>
            <w:tcW w:type="dxa" w:w="2493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Given a work order and site photos</w:t>
            </w:r>
          </w:p>
        </w:tc>
        <w:tc>
          <w:tcPr>
            <w:tcW w:type="dxa" w:w="2493"/>
            <w:shd w:val="clear" w:color="auto" w:fill="F7F0FB"/>
          </w:tcPr>
          <w:p>
            <w:pPr>
              <w:spacing w:before="60" w:after="60"/>
            </w:pPr>
            <w:r>
              <w:t>Identifies an unsafe installation</w:t>
            </w:r>
          </w:p>
        </w:tc>
        <w:tc>
          <w:tcPr>
            <w:tcW w:type="dxa" w:w="2493"/>
            <w:shd w:val="clear" w:color="auto" w:fill="F7F0FB"/>
          </w:tcPr>
          <w:p>
            <w:pPr>
              <w:spacing w:before="60" w:after="60"/>
            </w:pPr>
            <w:r>
              <w:t>Follows the approved stop-work and reporting procedure</w:t>
            </w:r>
          </w:p>
        </w:tc>
        <w:tc>
          <w:tcPr>
            <w:tcW w:type="dxa" w:w="2493"/>
            <w:shd w:val="clear" w:color="auto" w:fill="F7F0FB"/>
          </w:tcPr>
          <w:p>
            <w:pPr>
              <w:spacing w:before="60" w:after="60"/>
            </w:pPr>
            <w:r>
              <w:t>Full-job scenario with asbestos board</w:t>
            </w:r>
          </w:p>
        </w:tc>
      </w:tr>
      <w:tr>
        <w:trPr>
          <w:cantSplit w:val="true"/>
          <w:trHeight w:val="794"/>
        </w:trPr>
        <w:tc>
          <w:tcPr>
            <w:tcW w:type="dxa" w:w="2493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493"/>
          </w:tcPr>
          <w:p>
            <w:pPr>
              <w:spacing w:before="60" w:after="60"/>
            </w:pPr>
            <w:r/>
          </w:p>
        </w:tc>
        <w:tc>
          <w:tcPr>
            <w:tcW w:type="dxa" w:w="2493"/>
          </w:tcPr>
          <w:p>
            <w:pPr>
              <w:spacing w:before="60" w:after="60"/>
            </w:pPr>
            <w:r/>
          </w:p>
        </w:tc>
        <w:tc>
          <w:tcPr>
            <w:tcW w:type="dxa" w:w="2493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94"/>
        </w:trPr>
        <w:tc>
          <w:tcPr>
            <w:tcW w:type="dxa" w:w="2493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493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493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493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94"/>
        </w:trPr>
        <w:tc>
          <w:tcPr>
            <w:tcW w:type="dxa" w:w="2493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493"/>
          </w:tcPr>
          <w:p>
            <w:pPr>
              <w:spacing w:before="60" w:after="60"/>
            </w:pPr>
            <w:r/>
          </w:p>
        </w:tc>
        <w:tc>
          <w:tcPr>
            <w:tcW w:type="dxa" w:w="2493"/>
          </w:tcPr>
          <w:p>
            <w:pPr>
              <w:spacing w:before="60" w:after="60"/>
            </w:pPr>
            <w:r/>
          </w:p>
        </w:tc>
        <w:tc>
          <w:tcPr>
            <w:tcW w:type="dxa" w:w="2493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94"/>
        </w:trPr>
        <w:tc>
          <w:tcPr>
            <w:tcW w:type="dxa" w:w="2493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493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493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493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free template  |  page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