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Fiche de raisonnement sur un cas et de liste de vérification personnelle</w:t>
      </w:r>
    </w:p>
    <w:p>
      <w:r>
        <w:rPr>
          <w:color w:val="5A5766"/>
          <w:sz w:val="22"/>
        </w:rPr>
        <w:t>Pour un apprenant qui travaille sur un cas : consigner la première et la dernière réponse, comparer le raisonnement de deux collègues, vérifier la décision au regard de critères écrits et élaborer une liste de vérification personnelle pour le cas suivant. Adaptation propre à Coursebox des méthodes de réflexion et d’articulation du compagnonnage cognitif (Collins, Brown et Holum, 1991). Un outil d’apprentissage, et non un instrument validé : il ne donne aucun score et ne certifie aucune compétence. La fiche d’un comptable fournisseurs hypothétique est remplie à titre d’exemple.</w:t>
      </w:r>
    </w:p>
    <w:p>
      <w:r>
        <w:rPr>
          <w:i/>
          <w:color w:val="5A5766"/>
          <w:sz w:val="18"/>
        </w:rPr>
        <w:t>Issu du blog Coursebox : coursebox.ai/blog/constructivism-learning-theory-and-its-elearning-application</w:t>
      </w:r>
    </w:p>
    <w:p>
      <w:pPr>
        <w:keepNext/>
        <w:spacing w:before="240" w:after="80"/>
      </w:pPr>
      <w:r>
        <w:rPr>
          <w:b/>
          <w:color w:val="5D008F"/>
          <w:sz w:val="28"/>
        </w:rPr>
        <w:t>Comment utiliser cette fiche</w:t>
      </w:r>
    </w:p>
    <w:p>
      <w:pPr>
        <w:pStyle w:val="ListBullet"/>
      </w:pPr>
      <w:r>
        <w:t>Pour la version centrée sur le problème, consignez la première réponse avant l’explication. Si les apprenants ne parviennent pas à démarrer, commencez par un exemple résolu.</w:t>
      </w:r>
    </w:p>
    <w:p>
      <w:pPr>
        <w:pStyle w:val="ListBullet"/>
      </w:pPr>
      <w:r>
        <w:t>Écrivez la réponse finale après l’exemple résolu et la pratique guidée. L’écart entre les deux est la preuve d’un raisonnement qui a évolué.</w:t>
      </w:r>
    </w:p>
    <w:p>
      <w:pPr>
        <w:pStyle w:val="ListBullet"/>
      </w:pPr>
      <w:r>
        <w:t>Comparez les décisions de deux collègues sur le même cas. Dites quel raisonnement vous approuvez et pourquoi, et pas seulement quelle réponse est juste.</w:t>
      </w:r>
    </w:p>
    <w:p>
      <w:pPr>
        <w:pStyle w:val="ListBullet"/>
      </w:pPr>
      <w:r>
        <w:t>Vérifiez la décision finale au regard de chaque critère avec une courte note écrite. Ces notes servent de pistes de feedback, pas de notes chiffrées.</w:t>
      </w:r>
    </w:p>
    <w:p>
      <w:pPr>
        <w:pStyle w:val="ListBullet"/>
      </w:pPr>
      <w:r>
        <w:t>Terminez en rédigeant votre propre liste de vérification pour le cas suivant, avec vos propres mots.</w:t>
      </w:r>
    </w:p>
    <w:p>
      <w:pPr>
        <w:keepNext/>
        <w:pageBreakBefore/>
        <w:spacing w:before="240" w:after="80"/>
      </w:pPr>
      <w:r>
        <w:rPr>
          <w:b/>
          <w:color w:val="5D008F"/>
          <w:sz w:val="28"/>
        </w:rPr>
        <w:t>Exemple résolu : première et dernière réponses</w:t>
      </w:r>
    </w:p>
    <w:p>
      <w:r>
        <w:t>Exemple hypothétique. Un nouveau comptable fournisseurs traite le cas du mardi : un courriel du contact habituel d’un fournisseur d’emballages de longue date demande à la comptabilité de changer le compte bancaire « pour tous les paiements à partir de cette semaine ». Une facture de 48 600 $ est due au paiement de jeudi, et le domaine de l’expéditeur diffère de l’habituel d’une seule lettre.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984"/>
            <w:shd w:val="clear" w:color="auto" w:fill="5D008F"/>
          </w:tcPr>
          <w:p>
            <w:pPr>
              <w:spacing w:before="60" w:after="60"/>
            </w:pPr>
            <w:r/>
            <w:r>
              <w:rPr>
                <w:b/>
                <w:color w:val="FFFFFF"/>
              </w:rPr>
            </w:r>
          </w:p>
        </w:tc>
        <w:tc>
          <w:tcPr>
            <w:tcW w:type="dxa" w:w="7654"/>
            <w:shd w:val="clear" w:color="auto" w:fill="5D008F"/>
          </w:tcPr>
          <w:p>
            <w:pPr>
              <w:spacing w:before="60" w:after="60"/>
            </w:pPr>
            <w:r/>
            <w:r>
              <w:rPr>
                <w:b/>
                <w:color w:val="FFFFFF"/>
              </w:rPr>
              <w:t>La réponse du comptable</w:t>
            </w:r>
          </w:p>
        </w:tc>
      </w:tr>
      <w:tr>
        <w:trPr>
          <w:cantSplit w:val="true"/>
        </w:trPr>
        <w:tc>
          <w:tcPr>
            <w:tcW w:type="dxa" w:w="1984"/>
          </w:tcPr>
          <w:p>
            <w:pPr>
              <w:spacing w:before="60" w:after="60"/>
            </w:pPr>
            <w:r>
              <w:rPr>
                <w:b/>
              </w:rPr>
              <w:t>Première réponse</w:t>
            </w:r>
          </w:p>
        </w:tc>
        <w:tc>
          <w:tcPr>
            <w:tcW w:type="dxa" w:w="7654"/>
          </w:tcPr>
          <w:p>
            <w:pPr>
              <w:spacing w:before="60" w:after="60"/>
            </w:pPr>
            <w:r>
              <w:t>Mettre à jour les coordonnées bancaires, car la demande vient du contact avec lequel nous travaillons toujours et la lettre est à son en-tête. Payer jeudi comme d’habitude.</w:t>
            </w:r>
          </w:p>
        </w:tc>
      </w:tr>
      <w:tr>
        <w:trPr>
          <w:cantSplit w:val="true"/>
        </w:trPr>
        <w:tc>
          <w:tcPr>
            <w:tcW w:type="dxa" w:w="1984"/>
            <w:shd w:val="clear" w:color="auto" w:fill="F7F0FB"/>
          </w:tcPr>
          <w:p>
            <w:pPr>
              <w:spacing w:before="60" w:after="60"/>
            </w:pPr>
            <w:r>
              <w:rPr>
                <w:b/>
              </w:rPr>
              <w:t>Réponse finale</w:t>
            </w:r>
          </w:p>
        </w:tc>
        <w:tc>
          <w:tcPr>
            <w:tcW w:type="dxa" w:w="7654"/>
            <w:shd w:val="clear" w:color="auto" w:fill="F7F0FB"/>
          </w:tcPr>
          <w:p>
            <w:pPr>
              <w:spacing w:before="60" w:after="60"/>
            </w:pPr>
            <w:r>
              <w:t>Bloquer la modification et le paiement de 48 600 $. Le domaine de l’expéditeur diffère d’une lettre de celui de la fiche fournisseur de référence, et la fiche ne montre aucune modification depuis quatre ans. Appeler le fournisseur au numéro déjà enregistré, et non à un numéro figurant dans le courriel ou la lettre, et obtenir l’approbation d’un second comptable avant toute modification. Informer la personne qui approuve que le paiement de jeudi est bloqué.</w:t>
            </w:r>
          </w:p>
        </w:tc>
      </w:tr>
      <w:tr>
        <w:trPr>
          <w:cantSplit w:val="true"/>
        </w:trPr>
        <w:tc>
          <w:tcPr>
            <w:tcW w:type="dxa" w:w="1984"/>
          </w:tcPr>
          <w:p>
            <w:pPr>
              <w:spacing w:before="60" w:after="60"/>
            </w:pPr>
            <w:r>
              <w:rPr>
                <w:b/>
              </w:rPr>
              <w:t>Ce qui a changé dans mon raisonnement</w:t>
            </w:r>
          </w:p>
        </w:tc>
        <w:tc>
          <w:tcPr>
            <w:tcW w:type="dxa" w:w="7654"/>
          </w:tcPr>
          <w:p>
            <w:pPr>
              <w:spacing w:before="60" w:after="60"/>
            </w:pPr>
            <w:r>
              <w:t>Je me suis fié au nom de l’expéditeur. Désormais, je vérifie la demande au regard de la fiche fournisseur et de la procédure, quelle que soit la personne dont elle semble provenir.</w:t>
            </w:r>
          </w:p>
        </w:tc>
      </w:tr>
    </w:tbl>
    <w:p>
      <w:pPr>
        <w:keepNext/>
        <w:spacing w:before="240" w:after="80"/>
      </w:pPr>
      <w:r>
        <w:rPr>
          <w:b/>
          <w:color w:val="5D008F"/>
          <w:sz w:val="28"/>
        </w:rPr>
        <w:t>Exemple résolu : comparaison du raisonnement de collègues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268"/>
            <w:shd w:val="clear" w:color="auto" w:fill="5D008F"/>
          </w:tcPr>
          <w:p>
            <w:pPr>
              <w:spacing w:before="60" w:after="60"/>
            </w:pPr>
            <w:r/>
            <w:r>
              <w:rPr>
                <w:b/>
                <w:color w:val="FFFFFF"/>
              </w:rPr>
              <w:t>Décision du collègue</w:t>
            </w:r>
          </w:p>
        </w:tc>
        <w:tc>
          <w:tcPr>
            <w:tcW w:type="dxa" w:w="3685"/>
            <w:shd w:val="clear" w:color="auto" w:fill="5D008F"/>
          </w:tcPr>
          <w:p>
            <w:pPr>
              <w:spacing w:before="60" w:after="60"/>
            </w:pPr>
            <w:r/>
            <w:r>
              <w:rPr>
                <w:b/>
                <w:color w:val="FFFFFF"/>
              </w:rPr>
              <w:t>Son raisonnement</w:t>
            </w:r>
          </w:p>
        </w:tc>
        <w:tc>
          <w:tcPr>
            <w:tcW w:type="dxa" w:w="3685"/>
            <w:shd w:val="clear" w:color="auto" w:fill="5D008F"/>
          </w:tcPr>
          <w:p>
            <w:pPr>
              <w:spacing w:before="60" w:after="60"/>
            </w:pPr>
            <w:r/>
            <w:r>
              <w:rPr>
                <w:b/>
                <w:color w:val="FFFFFF"/>
              </w:rPr>
              <w:t>Suis-je d’accord, et pourquoi ?</w:t>
            </w:r>
          </w:p>
        </w:tc>
      </w:tr>
      <w:tr>
        <w:trPr>
          <w:cantSplit w:val="true"/>
        </w:trPr>
        <w:tc>
          <w:tcPr>
            <w:tcW w:type="dxa" w:w="2268"/>
          </w:tcPr>
          <w:p>
            <w:pPr>
              <w:spacing w:before="60" w:after="60"/>
            </w:pPr>
            <w:r>
              <w:rPr>
                <w:b/>
              </w:rPr>
              <w:t>Paie jeudi et met à jour les coordonnées</w:t>
            </w:r>
          </w:p>
        </w:tc>
        <w:tc>
          <w:tcPr>
            <w:tcW w:type="dxa" w:w="3685"/>
          </w:tcPr>
          <w:p>
            <w:pPr>
              <w:spacing w:before="60" w:after="60"/>
            </w:pPr>
            <w:r>
              <w:t>Contact connu, lettre à en-tête, le fournisseur a dit avoir changé de banque</w:t>
            </w:r>
          </w:p>
        </w:tc>
        <w:tc>
          <w:tcPr>
            <w:tcW w:type="dxa" w:w="3685"/>
          </w:tcPr>
          <w:p>
            <w:pPr>
              <w:spacing w:before="60" w:after="60"/>
            </w:pPr>
            <w:r>
              <w:t>Non. Rien dans la demande n’a été vérifié au regard de la fiche fournisseur, et la procédure exige un appel au numéro enregistré.</w:t>
            </w:r>
          </w:p>
        </w:tc>
      </w:tr>
      <w:tr>
        <w:trPr>
          <w:cantSplit w:val="true"/>
        </w:trPr>
        <w:tc>
          <w:tcPr>
            <w:tcW w:type="dxa" w:w="2268"/>
            <w:shd w:val="clear" w:color="auto" w:fill="F7F0FB"/>
          </w:tcPr>
          <w:p>
            <w:pPr>
              <w:spacing w:before="60" w:after="60"/>
            </w:pPr>
            <w:r>
              <w:rPr>
                <w:b/>
              </w:rPr>
              <w:t>Bloque le paiement et appelle le numéro enregistré</w:t>
            </w:r>
          </w:p>
        </w:tc>
        <w:tc>
          <w:tcPr>
            <w:tcW w:type="dxa" w:w="3685"/>
            <w:shd w:val="clear" w:color="auto" w:fill="F7F0FB"/>
          </w:tcPr>
          <w:p>
            <w:pPr>
              <w:spacing w:before="60" w:after="60"/>
            </w:pPr>
            <w:r>
              <w:t>Le domaine ne correspond pas, première modification en quatre ans, pression sur les délais dans le courriel</w:t>
            </w:r>
          </w:p>
        </w:tc>
        <w:tc>
          <w:tcPr>
            <w:tcW w:type="dxa" w:w="3685"/>
            <w:shd w:val="clear" w:color="auto" w:fill="F7F0FB"/>
          </w:tcPr>
          <w:p>
            <w:pPr>
              <w:spacing w:before="60" w:after="60"/>
            </w:pPr>
            <w:r>
              <w:t>Oui. Cela suit la procédure et explique quels éléments ne concordaient pas.</w:t>
            </w:r>
          </w:p>
        </w:tc>
      </w:tr>
    </w:tbl>
    <w:p>
      <w:pPr>
        <w:keepNext/>
        <w:pageBreakBefore/>
        <w:spacing w:before="240" w:after="80"/>
      </w:pPr>
      <w:r>
        <w:rPr>
          <w:b/>
          <w:color w:val="5D008F"/>
          <w:sz w:val="28"/>
        </w:rPr>
        <w:t>Exemple résolu : vérification de la décision finale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2041"/>
            <w:shd w:val="clear" w:color="auto" w:fill="5D008F"/>
          </w:tcPr>
          <w:p>
            <w:pPr>
              <w:spacing w:before="60" w:after="60"/>
            </w:pPr>
            <w:r/>
            <w:r>
              <w:rPr>
                <w:b/>
                <w:color w:val="FFFFFF"/>
              </w:rPr>
              <w:t>Critère</w:t>
            </w:r>
          </w:p>
        </w:tc>
        <w:tc>
          <w:tcPr>
            <w:tcW w:type="dxa" w:w="1814"/>
            <w:shd w:val="clear" w:color="auto" w:fill="5D008F"/>
          </w:tcPr>
          <w:p>
            <w:pPr>
              <w:spacing w:before="60" w:after="60"/>
            </w:pPr>
            <w:r/>
            <w:r>
              <w:rPr>
                <w:b/>
                <w:color w:val="FFFFFF"/>
              </w:rPr>
              <w:t>Pas encore</w:t>
            </w:r>
          </w:p>
        </w:tc>
        <w:tc>
          <w:tcPr>
            <w:tcW w:type="dxa" w:w="1814"/>
            <w:shd w:val="clear" w:color="auto" w:fill="5D008F"/>
          </w:tcPr>
          <w:p>
            <w:pPr>
              <w:spacing w:before="60" w:after="60"/>
            </w:pPr>
            <w:r/>
            <w:r>
              <w:rPr>
                <w:b/>
                <w:color w:val="FFFFFF"/>
              </w:rPr>
              <w:t>Atteint</w:t>
            </w:r>
          </w:p>
        </w:tc>
        <w:tc>
          <w:tcPr>
            <w:tcW w:type="dxa" w:w="1814"/>
            <w:shd w:val="clear" w:color="auto" w:fill="5D008F"/>
          </w:tcPr>
          <w:p>
            <w:pPr>
              <w:spacing w:before="60" w:after="60"/>
            </w:pPr>
            <w:r/>
            <w:r>
              <w:rPr>
                <w:b/>
                <w:color w:val="FFFFFF"/>
              </w:rPr>
              <w:t>Va plus loin</w:t>
            </w:r>
          </w:p>
        </w:tc>
        <w:tc>
          <w:tcPr>
            <w:tcW w:type="dxa" w:w="2154"/>
            <w:shd w:val="clear" w:color="auto" w:fill="5D008F"/>
          </w:tcPr>
          <w:p>
            <w:pPr>
              <w:spacing w:before="60" w:after="60"/>
            </w:pPr>
            <w:r/>
            <w:r>
              <w:rPr>
                <w:b/>
                <w:color w:val="FFFFFF"/>
              </w:rPr>
              <w:t>Note de feedback</w:t>
            </w:r>
          </w:p>
        </w:tc>
      </w:tr>
      <w:tr>
        <w:trPr>
          <w:cantSplit w:val="true"/>
        </w:trPr>
        <w:tc>
          <w:tcPr>
            <w:tcW w:type="dxa" w:w="2041"/>
          </w:tcPr>
          <w:p>
            <w:pPr>
              <w:spacing w:before="60" w:after="60"/>
            </w:pPr>
            <w:r>
              <w:rPr>
                <w:b/>
              </w:rPr>
              <w:t>A vérifié la demande au regard de la fiche fournisseur de référence</w:t>
            </w:r>
          </w:p>
        </w:tc>
        <w:tc>
          <w:tcPr>
            <w:tcW w:type="dxa" w:w="1814"/>
          </w:tcPr>
          <w:p>
            <w:pPr>
              <w:spacing w:before="60" w:after="60"/>
            </w:pPr>
            <w:r>
              <w:t>Se fie au nom de l’expéditeur ou à l’en-tête</w:t>
            </w:r>
          </w:p>
        </w:tc>
        <w:tc>
          <w:tcPr>
            <w:tcW w:type="dxa" w:w="1814"/>
          </w:tcPr>
          <w:p>
            <w:pPr>
              <w:spacing w:before="60" w:after="60"/>
            </w:pPr>
            <w:r>
              <w:t>Compare le domaine, les coordonnées bancaires et l’historique des modifications avec la fiche</w:t>
            </w:r>
          </w:p>
        </w:tc>
        <w:tc>
          <w:tcPr>
            <w:tcW w:type="dxa" w:w="1814"/>
          </w:tcPr>
          <w:p>
            <w:pPr>
              <w:spacing w:before="60" w:after="60"/>
            </w:pPr>
            <w:r>
              <w:t>Nomme aussi l’élément qui aurait été facile à manquer</w:t>
            </w:r>
          </w:p>
        </w:tc>
        <w:tc>
          <w:tcPr>
            <w:tcW w:type="dxa" w:w="2154"/>
          </w:tcPr>
          <w:p>
            <w:pPr>
              <w:spacing w:before="60" w:after="60"/>
            </w:pPr>
            <w:r>
              <w:t>A comparé le domaine et l’historique des modifications. La prochaine fois, comparez aussi les coordonnées bancaires de la lettre avec la fiche.</w:t>
            </w:r>
          </w:p>
        </w:tc>
      </w:tr>
      <w:tr>
        <w:trPr>
          <w:cantSplit w:val="true"/>
        </w:trPr>
        <w:tc>
          <w:tcPr>
            <w:tcW w:type="dxa" w:w="2041"/>
            <w:shd w:val="clear" w:color="auto" w:fill="F7F0FB"/>
          </w:tcPr>
          <w:p>
            <w:pPr>
              <w:spacing w:before="60" w:after="60"/>
            </w:pPr>
            <w:r>
              <w:rPr>
                <w:b/>
              </w:rPr>
              <w:t>A nommé l’étape de vérification prévue par la procédure</w:t>
            </w:r>
          </w:p>
        </w:tc>
        <w:tc>
          <w:tcPr>
            <w:tcW w:type="dxa" w:w="1814"/>
            <w:shd w:val="clear" w:color="auto" w:fill="F7F0FB"/>
          </w:tcPr>
          <w:p>
            <w:pPr>
              <w:spacing w:before="60" w:after="60"/>
            </w:pPr>
            <w:r>
              <w:t>Aucun appel, ou appel à un numéro figurant dans la demande</w:t>
            </w:r>
          </w:p>
        </w:tc>
        <w:tc>
          <w:tcPr>
            <w:tcW w:type="dxa" w:w="1814"/>
            <w:shd w:val="clear" w:color="auto" w:fill="F7F0FB"/>
          </w:tcPr>
          <w:p>
            <w:pPr>
              <w:spacing w:before="60" w:after="60"/>
            </w:pPr>
            <w:r>
              <w:t>Appelle le numéro enregistré et exige une seconde approbation</w:t>
            </w:r>
          </w:p>
        </w:tc>
        <w:tc>
          <w:tcPr>
            <w:tcW w:type="dxa" w:w="1814"/>
            <w:shd w:val="clear" w:color="auto" w:fill="F7F0FB"/>
          </w:tcPr>
          <w:p>
            <w:pPr>
              <w:spacing w:before="60" w:after="60"/>
            </w:pPr>
            <w:r>
              <w:t>Indique l’appel et l’approbation d’un second comptable</w:t>
            </w:r>
          </w:p>
        </w:tc>
        <w:tc>
          <w:tcPr>
            <w:tcW w:type="dxa" w:w="2154"/>
            <w:shd w:val="clear" w:color="auto" w:fill="F7F0FB"/>
          </w:tcPr>
          <w:p>
            <w:pPr>
              <w:spacing w:before="60" w:after="60"/>
            </w:pPr>
            <w:r>
              <w:t>A nommé les deux étapes.</w:t>
            </w:r>
          </w:p>
        </w:tc>
      </w:tr>
      <w:tr>
        <w:trPr>
          <w:cantSplit w:val="true"/>
        </w:trPr>
        <w:tc>
          <w:tcPr>
            <w:tcW w:type="dxa" w:w="2041"/>
          </w:tcPr>
          <w:p>
            <w:pPr>
              <w:spacing w:before="60" w:after="60"/>
            </w:pPr>
            <w:r>
              <w:rPr>
                <w:b/>
              </w:rPr>
              <w:t>A indiqué la prochaine action pour le paiement hebdomadaire</w:t>
            </w:r>
          </w:p>
        </w:tc>
        <w:tc>
          <w:tcPr>
            <w:tcW w:type="dxa" w:w="1814"/>
          </w:tcPr>
          <w:p>
            <w:pPr>
              <w:spacing w:before="60" w:after="60"/>
            </w:pPr>
            <w:r>
              <w:t>Laisse le paiement en l’état</w:t>
            </w:r>
          </w:p>
        </w:tc>
        <w:tc>
          <w:tcPr>
            <w:tcW w:type="dxa" w:w="1814"/>
          </w:tcPr>
          <w:p>
            <w:pPr>
              <w:spacing w:before="60" w:after="60"/>
            </w:pPr>
            <w:r>
              <w:t>Bloque le paiement jusqu’à la vérification de la modification</w:t>
            </w:r>
          </w:p>
        </w:tc>
        <w:tc>
          <w:tcPr>
            <w:tcW w:type="dxa" w:w="1814"/>
          </w:tcPr>
          <w:p>
            <w:pPr>
              <w:spacing w:before="60" w:after="60"/>
            </w:pPr>
            <w:r>
              <w:t>Dit aussi qui informer et quand</w:t>
            </w:r>
          </w:p>
        </w:tc>
        <w:tc>
          <w:tcPr>
            <w:tcW w:type="dxa" w:w="2154"/>
          </w:tcPr>
          <w:p>
            <w:pPr>
              <w:spacing w:before="60" w:after="60"/>
            </w:pPr>
            <w:r>
              <w:t>A bloqué le paiement et informé la personne qui approuve.</w:t>
            </w:r>
          </w:p>
        </w:tc>
      </w:tr>
    </w:tbl>
    <w:p>
      <w:pPr>
        <w:spacing w:before="160"/>
      </w:pPr>
      <w:r>
        <w:t>Ces descriptions sont des pistes pour un feedback écrit. Ne les additionnez pas pour en faire un score : une décision qui vérifie la fiche mais paie tout de même la facture a échoué au cas.</w:t>
      </w:r>
    </w:p>
    <w:p>
      <w:pPr>
        <w:keepNext/>
        <w:spacing w:before="240" w:after="80"/>
      </w:pPr>
      <w:r>
        <w:rPr>
          <w:b/>
          <w:color w:val="5D008F"/>
          <w:sz w:val="28"/>
        </w:rPr>
        <w:t>Exemple résolu : ma liste de vérification pour la prochaine demande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819"/>
            <w:shd w:val="clear" w:color="auto" w:fill="5D008F"/>
          </w:tcPr>
          <w:p>
            <w:pPr>
              <w:spacing w:before="60" w:after="60"/>
            </w:pPr>
            <w:r/>
            <w:r>
              <w:rPr>
                <w:b/>
                <w:color w:val="FFFFFF"/>
              </w:rPr>
              <w:t>Mon contrôle</w:t>
            </w:r>
          </w:p>
        </w:tc>
        <w:tc>
          <w:tcPr>
            <w:tcW w:type="dxa" w:w="4819"/>
            <w:shd w:val="clear" w:color="auto" w:fill="5D008F"/>
          </w:tcPr>
          <w:p>
            <w:pPr>
              <w:spacing w:before="60" w:after="60"/>
            </w:pPr>
            <w:r/>
            <w:r>
              <w:rPr>
                <w:b/>
                <w:color w:val="FFFFFF"/>
              </w:rPr>
              <w:t>Pourquoi</w:t>
            </w:r>
          </w:p>
        </w:tc>
      </w:tr>
      <w:tr>
        <w:trPr>
          <w:cantSplit w:val="true"/>
        </w:trPr>
        <w:tc>
          <w:tcPr>
            <w:tcW w:type="dxa" w:w="4819"/>
          </w:tcPr>
          <w:p>
            <w:pPr>
              <w:spacing w:before="60" w:after="60"/>
            </w:pPr>
            <w:r>
              <w:rPr>
                <w:b/>
              </w:rPr>
              <w:t>Comparer l’adresse de l’expéditeur avec le contact de la fiche fournisseur, lettre par lettre</w:t>
            </w:r>
          </w:p>
        </w:tc>
        <w:tc>
          <w:tcPr>
            <w:tcW w:type="dxa" w:w="4819"/>
          </w:tcPr>
          <w:p>
            <w:pPr>
              <w:spacing w:before="60" w:after="60"/>
            </w:pPr>
            <w:r>
              <w:t>Un domaine presque identique paraît correct au premier coup d’œil</w:t>
            </w:r>
          </w:p>
        </w:tc>
      </w:tr>
      <w:tr>
        <w:trPr>
          <w:cantSplit w:val="true"/>
        </w:trPr>
        <w:tc>
          <w:tcPr>
            <w:tcW w:type="dxa" w:w="4819"/>
            <w:shd w:val="clear" w:color="auto" w:fill="F7F0FB"/>
          </w:tcPr>
          <w:p>
            <w:pPr>
              <w:spacing w:before="60" w:after="60"/>
            </w:pPr>
            <w:r>
              <w:rPr>
                <w:b/>
              </w:rPr>
              <w:t>Consulter l’historique des modifications de ce fournisseur</w:t>
            </w:r>
          </w:p>
        </w:tc>
        <w:tc>
          <w:tcPr>
            <w:tcW w:type="dxa" w:w="4819"/>
            <w:shd w:val="clear" w:color="auto" w:fill="F7F0FB"/>
          </w:tcPr>
          <w:p>
            <w:pPr>
              <w:spacing w:before="60" w:after="60"/>
            </w:pPr>
            <w:r>
              <w:t>Une première modification en plusieurs années mérite un examen plus attentif</w:t>
            </w:r>
          </w:p>
        </w:tc>
      </w:tr>
      <w:tr>
        <w:trPr>
          <w:cantSplit w:val="true"/>
        </w:trPr>
        <w:tc>
          <w:tcPr>
            <w:tcW w:type="dxa" w:w="4819"/>
          </w:tcPr>
          <w:p>
            <w:pPr>
              <w:spacing w:before="60" w:after="60"/>
            </w:pPr>
            <w:r>
              <w:rPr>
                <w:b/>
              </w:rPr>
              <w:t>Appeler le numéro déjà enregistré, jamais celui de la demande</w:t>
            </w:r>
          </w:p>
        </w:tc>
        <w:tc>
          <w:tcPr>
            <w:tcW w:type="dxa" w:w="4819"/>
          </w:tcPr>
          <w:p>
            <w:pPr>
              <w:spacing w:before="60" w:after="60"/>
            </w:pPr>
            <w:r>
              <w:t>La procédure l’exige, et le numéro de la demande peut être celui du fraudeur</w:t>
            </w:r>
          </w:p>
        </w:tc>
      </w:tr>
      <w:tr>
        <w:trPr>
          <w:cantSplit w:val="true"/>
        </w:trPr>
        <w:tc>
          <w:tcPr>
            <w:tcW w:type="dxa" w:w="4819"/>
            <w:shd w:val="clear" w:color="auto" w:fill="F7F0FB"/>
          </w:tcPr>
          <w:p>
            <w:pPr>
              <w:spacing w:before="60" w:after="60"/>
            </w:pPr>
            <w:r>
              <w:rPr>
                <w:b/>
              </w:rPr>
              <w:t>Obtenir l’approbation d’un second comptable avant le prochain paiement</w:t>
            </w:r>
          </w:p>
        </w:tc>
        <w:tc>
          <w:tcPr>
            <w:tcW w:type="dxa" w:w="4819"/>
            <w:shd w:val="clear" w:color="auto" w:fill="F7F0FB"/>
          </w:tcPr>
          <w:p>
            <w:pPr>
              <w:spacing w:before="60" w:after="60"/>
            </w:pPr>
            <w:r>
              <w:t>La procédure l’exige</w:t>
            </w:r>
          </w:p>
        </w:tc>
      </w:tr>
      <w:tr>
        <w:trPr>
          <w:cantSplit w:val="true"/>
        </w:trPr>
        <w:tc>
          <w:tcPr>
            <w:tcW w:type="dxa" w:w="4819"/>
          </w:tcPr>
          <w:p>
            <w:pPr>
              <w:spacing w:before="60" w:after="60"/>
            </w:pPr>
            <w:r>
              <w:rPr>
                <w:b/>
              </w:rPr>
              <w:t>Bloquer tout paiement dû avant la vérification de la modification</w:t>
            </w:r>
          </w:p>
        </w:tc>
        <w:tc>
          <w:tcPr>
            <w:tcW w:type="dxa" w:w="4819"/>
          </w:tcPr>
          <w:p>
            <w:pPr>
              <w:spacing w:before="60" w:after="60"/>
            </w:pPr>
            <w:r>
              <w:t>Un paiement effectué ne s’annule pas facilement</w:t>
            </w:r>
          </w:p>
        </w:tc>
      </w:tr>
    </w:tbl>
    <w:p>
      <w:pPr>
        <w:keepNext/>
        <w:pageBreakBefore/>
        <w:spacing w:before="240" w:after="80"/>
      </w:pPr>
      <w:r>
        <w:rPr>
          <w:b/>
          <w:color w:val="5D008F"/>
          <w:sz w:val="28"/>
        </w:rPr>
        <w:t>Votre cas : première et dernière réponses</w:t>
      </w:r>
    </w:p>
    <w:p>
      <w:r>
        <w:t>Cas :</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984"/>
            <w:shd w:val="clear" w:color="auto" w:fill="5D008F"/>
          </w:tcPr>
          <w:p>
            <w:pPr>
              <w:spacing w:before="60" w:after="60"/>
            </w:pPr>
            <w:r/>
            <w:r>
              <w:rPr>
                <w:b/>
                <w:color w:val="FFFFFF"/>
              </w:rPr>
            </w:r>
          </w:p>
        </w:tc>
        <w:tc>
          <w:tcPr>
            <w:tcW w:type="dxa" w:w="7654"/>
            <w:shd w:val="clear" w:color="auto" w:fill="5D008F"/>
          </w:tcPr>
          <w:p>
            <w:pPr>
              <w:spacing w:before="60" w:after="60"/>
            </w:pPr>
            <w:r/>
            <w:r>
              <w:rPr>
                <w:b/>
                <w:color w:val="FFFFFF"/>
              </w:rPr>
              <w:t>Votre réponse</w:t>
            </w:r>
          </w:p>
        </w:tc>
      </w:tr>
      <w:tr>
        <w:trPr>
          <w:cantSplit w:val="true"/>
          <w:trHeight w:val="2154"/>
        </w:trPr>
        <w:tc>
          <w:tcPr>
            <w:tcW w:type="dxa" w:w="1984"/>
          </w:tcPr>
          <w:p>
            <w:pPr>
              <w:spacing w:before="60" w:after="60"/>
            </w:pPr>
            <w:r>
              <w:rPr>
                <w:b/>
              </w:rPr>
              <w:t>Première réponse</w:t>
            </w:r>
          </w:p>
        </w:tc>
        <w:tc>
          <w:tcPr>
            <w:tcW w:type="dxa" w:w="7654"/>
          </w:tcPr>
          <w:p>
            <w:pPr>
              <w:spacing w:before="60" w:after="60"/>
            </w:pPr>
            <w:r/>
          </w:p>
        </w:tc>
      </w:tr>
      <w:tr>
        <w:trPr>
          <w:cantSplit w:val="true"/>
          <w:trHeight w:val="2154"/>
        </w:trPr>
        <w:tc>
          <w:tcPr>
            <w:tcW w:type="dxa" w:w="1984"/>
            <w:shd w:val="clear" w:color="auto" w:fill="F7F0FB"/>
          </w:tcPr>
          <w:p>
            <w:pPr>
              <w:spacing w:before="60" w:after="60"/>
            </w:pPr>
            <w:r>
              <w:rPr>
                <w:b/>
              </w:rPr>
              <w:t>Réponse finale</w:t>
            </w:r>
          </w:p>
        </w:tc>
        <w:tc>
          <w:tcPr>
            <w:tcW w:type="dxa" w:w="7654"/>
            <w:shd w:val="clear" w:color="auto" w:fill="F7F0FB"/>
          </w:tcPr>
          <w:p>
            <w:pPr>
              <w:spacing w:before="60" w:after="60"/>
            </w:pPr>
            <w:r/>
          </w:p>
        </w:tc>
      </w:tr>
      <w:tr>
        <w:trPr>
          <w:cantSplit w:val="true"/>
          <w:trHeight w:val="2154"/>
        </w:trPr>
        <w:tc>
          <w:tcPr>
            <w:tcW w:type="dxa" w:w="1984"/>
          </w:tcPr>
          <w:p>
            <w:pPr>
              <w:spacing w:before="60" w:after="60"/>
            </w:pPr>
            <w:r>
              <w:rPr>
                <w:b/>
              </w:rPr>
              <w:t>Ce qui a changé dans mon raisonnement</w:t>
            </w:r>
          </w:p>
        </w:tc>
        <w:tc>
          <w:tcPr>
            <w:tcW w:type="dxa" w:w="7654"/>
          </w:tcPr>
          <w:p>
            <w:pPr>
              <w:spacing w:before="60" w:after="60"/>
            </w:pPr>
            <w:r/>
          </w:p>
        </w:tc>
      </w:tr>
    </w:tbl>
    <w:p>
      <w:pPr>
        <w:keepNext/>
        <w:pageBreakBefore/>
        <w:spacing w:before="240" w:after="80"/>
      </w:pPr>
      <w:r>
        <w:rPr>
          <w:b/>
          <w:color w:val="5D008F"/>
          <w:sz w:val="28"/>
        </w:rPr>
        <w:t>Votre cas : comparaison du raisonnement de collègues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268"/>
            <w:shd w:val="clear" w:color="auto" w:fill="5D008F"/>
          </w:tcPr>
          <w:p>
            <w:pPr>
              <w:spacing w:before="60" w:after="60"/>
            </w:pPr>
            <w:r/>
            <w:r>
              <w:rPr>
                <w:b/>
                <w:color w:val="FFFFFF"/>
              </w:rPr>
              <w:t>Décision du collègue</w:t>
            </w:r>
          </w:p>
        </w:tc>
        <w:tc>
          <w:tcPr>
            <w:tcW w:type="dxa" w:w="3685"/>
            <w:shd w:val="clear" w:color="auto" w:fill="5D008F"/>
          </w:tcPr>
          <w:p>
            <w:pPr>
              <w:spacing w:before="60" w:after="60"/>
            </w:pPr>
            <w:r/>
            <w:r>
              <w:rPr>
                <w:b/>
                <w:color w:val="FFFFFF"/>
              </w:rPr>
              <w:t>Son raisonnement</w:t>
            </w:r>
          </w:p>
        </w:tc>
        <w:tc>
          <w:tcPr>
            <w:tcW w:type="dxa" w:w="3685"/>
            <w:shd w:val="clear" w:color="auto" w:fill="5D008F"/>
          </w:tcPr>
          <w:p>
            <w:pPr>
              <w:spacing w:before="60" w:after="60"/>
            </w:pPr>
            <w:r/>
            <w:r>
              <w:rPr>
                <w:b/>
                <w:color w:val="FFFFFF"/>
              </w:rPr>
              <w:t>Suis-je d’accord, et pourquoi ?</w:t>
            </w:r>
          </w:p>
        </w:tc>
      </w:tr>
      <w:tr>
        <w:trPr>
          <w:cantSplit w:val="true"/>
          <w:trHeight w:val="1814"/>
        </w:trPr>
        <w:tc>
          <w:tcPr>
            <w:tcW w:type="dxa" w:w="2268"/>
          </w:tcPr>
          <w:p>
            <w:pPr>
              <w:spacing w:before="60" w:after="60"/>
            </w:pPr>
            <w:r>
              <w:rPr>
                <w:b/>
              </w:rPr>
            </w:r>
          </w:p>
        </w:tc>
        <w:tc>
          <w:tcPr>
            <w:tcW w:type="dxa" w:w="3685"/>
          </w:tcPr>
          <w:p>
            <w:pPr>
              <w:spacing w:before="60" w:after="60"/>
            </w:pPr>
            <w:r/>
          </w:p>
        </w:tc>
        <w:tc>
          <w:tcPr>
            <w:tcW w:type="dxa" w:w="3685"/>
          </w:tcPr>
          <w:p>
            <w:pPr>
              <w:spacing w:before="60" w:after="60"/>
            </w:pPr>
            <w:r/>
          </w:p>
        </w:tc>
      </w:tr>
      <w:tr>
        <w:trPr>
          <w:cantSplit w:val="true"/>
          <w:trHeight w:val="1814"/>
        </w:trPr>
        <w:tc>
          <w:tcPr>
            <w:tcW w:type="dxa" w:w="2268"/>
            <w:shd w:val="clear" w:color="auto" w:fill="F7F0FB"/>
          </w:tcPr>
          <w:p>
            <w:pPr>
              <w:spacing w:before="60" w:after="60"/>
            </w:pPr>
            <w:r>
              <w:rPr>
                <w:b/>
              </w:rPr>
            </w:r>
          </w:p>
        </w:tc>
        <w:tc>
          <w:tcPr>
            <w:tcW w:type="dxa" w:w="3685"/>
            <w:shd w:val="clear" w:color="auto" w:fill="F7F0FB"/>
          </w:tcPr>
          <w:p>
            <w:pPr>
              <w:spacing w:before="60" w:after="60"/>
            </w:pPr>
            <w:r/>
          </w:p>
        </w:tc>
        <w:tc>
          <w:tcPr>
            <w:tcW w:type="dxa" w:w="3685"/>
            <w:shd w:val="clear" w:color="auto" w:fill="F7F0FB"/>
          </w:tcPr>
          <w:p>
            <w:pPr>
              <w:spacing w:before="60" w:after="60"/>
            </w:pPr>
            <w:r/>
          </w:p>
        </w:tc>
      </w:tr>
    </w:tbl>
    <w:p>
      <w:pPr>
        <w:keepNext/>
        <w:spacing w:before="240" w:after="80"/>
      </w:pPr>
      <w:r>
        <w:rPr>
          <w:b/>
          <w:color w:val="5D008F"/>
          <w:sz w:val="28"/>
        </w:rPr>
        <w:t>Votre cas : vérification de la décision finale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2041"/>
            <w:shd w:val="clear" w:color="auto" w:fill="5D008F"/>
          </w:tcPr>
          <w:p>
            <w:pPr>
              <w:spacing w:before="60" w:after="60"/>
            </w:pPr>
            <w:r/>
            <w:r>
              <w:rPr>
                <w:b/>
                <w:color w:val="FFFFFF"/>
              </w:rPr>
              <w:t>Critère</w:t>
            </w:r>
          </w:p>
        </w:tc>
        <w:tc>
          <w:tcPr>
            <w:tcW w:type="dxa" w:w="1814"/>
            <w:shd w:val="clear" w:color="auto" w:fill="5D008F"/>
          </w:tcPr>
          <w:p>
            <w:pPr>
              <w:spacing w:before="60" w:after="60"/>
            </w:pPr>
            <w:r/>
            <w:r>
              <w:rPr>
                <w:b/>
                <w:color w:val="FFFFFF"/>
              </w:rPr>
              <w:t>Pas encore</w:t>
            </w:r>
          </w:p>
        </w:tc>
        <w:tc>
          <w:tcPr>
            <w:tcW w:type="dxa" w:w="1814"/>
            <w:shd w:val="clear" w:color="auto" w:fill="5D008F"/>
          </w:tcPr>
          <w:p>
            <w:pPr>
              <w:spacing w:before="60" w:after="60"/>
            </w:pPr>
            <w:r/>
            <w:r>
              <w:rPr>
                <w:b/>
                <w:color w:val="FFFFFF"/>
              </w:rPr>
              <w:t>Atteint</w:t>
            </w:r>
          </w:p>
        </w:tc>
        <w:tc>
          <w:tcPr>
            <w:tcW w:type="dxa" w:w="1814"/>
            <w:shd w:val="clear" w:color="auto" w:fill="5D008F"/>
          </w:tcPr>
          <w:p>
            <w:pPr>
              <w:spacing w:before="60" w:after="60"/>
            </w:pPr>
            <w:r/>
            <w:r>
              <w:rPr>
                <w:b/>
                <w:color w:val="FFFFFF"/>
              </w:rPr>
              <w:t>Va plus loin</w:t>
            </w:r>
          </w:p>
        </w:tc>
        <w:tc>
          <w:tcPr>
            <w:tcW w:type="dxa" w:w="2154"/>
            <w:shd w:val="clear" w:color="auto" w:fill="5D008F"/>
          </w:tcPr>
          <w:p>
            <w:pPr>
              <w:spacing w:before="60" w:after="60"/>
            </w:pPr>
            <w:r/>
            <w:r>
              <w:rPr>
                <w:b/>
                <w:color w:val="FFFFFF"/>
              </w:rPr>
              <w:t>Note de feedback</w:t>
            </w:r>
          </w:p>
        </w:tc>
      </w:tr>
      <w:tr>
        <w:trPr>
          <w:cantSplit w:val="true"/>
          <w:trHeight w:val="1361"/>
        </w:trPr>
        <w:tc>
          <w:tcPr>
            <w:tcW w:type="dxa" w:w="2041"/>
          </w:tcPr>
          <w:p>
            <w:pPr>
              <w:spacing w:before="60" w:after="60"/>
            </w:pPr>
            <w:r>
              <w:rPr>
                <w:b/>
              </w:rPr>
            </w:r>
          </w:p>
        </w:tc>
        <w:tc>
          <w:tcPr>
            <w:tcW w:type="dxa" w:w="1814"/>
          </w:tcPr>
          <w:p>
            <w:pPr>
              <w:spacing w:before="60" w:after="60"/>
            </w:pPr>
            <w:r/>
          </w:p>
        </w:tc>
        <w:tc>
          <w:tcPr>
            <w:tcW w:type="dxa" w:w="1814"/>
          </w:tcPr>
          <w:p>
            <w:pPr>
              <w:spacing w:before="60" w:after="60"/>
            </w:pPr>
            <w:r/>
          </w:p>
        </w:tc>
        <w:tc>
          <w:tcPr>
            <w:tcW w:type="dxa" w:w="1814"/>
          </w:tcPr>
          <w:p>
            <w:pPr>
              <w:spacing w:before="60" w:after="60"/>
            </w:pPr>
            <w:r/>
          </w:p>
        </w:tc>
        <w:tc>
          <w:tcPr>
            <w:tcW w:type="dxa" w:w="2154"/>
          </w:tcPr>
          <w:p>
            <w:pPr>
              <w:spacing w:before="60" w:after="60"/>
            </w:pPr>
            <w:r/>
          </w:p>
        </w:tc>
      </w:tr>
      <w:tr>
        <w:trPr>
          <w:cantSplit w:val="true"/>
          <w:trHeight w:val="1361"/>
        </w:trPr>
        <w:tc>
          <w:tcPr>
            <w:tcW w:type="dxa" w:w="2041"/>
            <w:shd w:val="clear" w:color="auto" w:fill="F7F0FB"/>
          </w:tcPr>
          <w:p>
            <w:pPr>
              <w:spacing w:before="60" w:after="60"/>
            </w:pPr>
            <w:r>
              <w:rPr>
                <w:b/>
              </w:rPr>
            </w:r>
          </w:p>
        </w:tc>
        <w:tc>
          <w:tcPr>
            <w:tcW w:type="dxa" w:w="1814"/>
            <w:shd w:val="clear" w:color="auto" w:fill="F7F0FB"/>
          </w:tcPr>
          <w:p>
            <w:pPr>
              <w:spacing w:before="60" w:after="60"/>
            </w:pPr>
            <w:r/>
          </w:p>
        </w:tc>
        <w:tc>
          <w:tcPr>
            <w:tcW w:type="dxa" w:w="1814"/>
            <w:shd w:val="clear" w:color="auto" w:fill="F7F0FB"/>
          </w:tcPr>
          <w:p>
            <w:pPr>
              <w:spacing w:before="60" w:after="60"/>
            </w:pPr>
            <w:r/>
          </w:p>
        </w:tc>
        <w:tc>
          <w:tcPr>
            <w:tcW w:type="dxa" w:w="1814"/>
            <w:shd w:val="clear" w:color="auto" w:fill="F7F0FB"/>
          </w:tcPr>
          <w:p>
            <w:pPr>
              <w:spacing w:before="60" w:after="60"/>
            </w:pPr>
            <w:r/>
          </w:p>
        </w:tc>
        <w:tc>
          <w:tcPr>
            <w:tcW w:type="dxa" w:w="2154"/>
            <w:shd w:val="clear" w:color="auto" w:fill="F7F0FB"/>
          </w:tcPr>
          <w:p>
            <w:pPr>
              <w:spacing w:before="60" w:after="60"/>
            </w:pPr>
            <w:r/>
          </w:p>
        </w:tc>
      </w:tr>
      <w:tr>
        <w:trPr>
          <w:cantSplit w:val="true"/>
          <w:trHeight w:val="1361"/>
        </w:trPr>
        <w:tc>
          <w:tcPr>
            <w:tcW w:type="dxa" w:w="2041"/>
          </w:tcPr>
          <w:p>
            <w:pPr>
              <w:spacing w:before="60" w:after="60"/>
            </w:pPr>
            <w:r>
              <w:rPr>
                <w:b/>
              </w:rPr>
            </w:r>
          </w:p>
        </w:tc>
        <w:tc>
          <w:tcPr>
            <w:tcW w:type="dxa" w:w="1814"/>
          </w:tcPr>
          <w:p>
            <w:pPr>
              <w:spacing w:before="60" w:after="60"/>
            </w:pPr>
            <w:r/>
          </w:p>
        </w:tc>
        <w:tc>
          <w:tcPr>
            <w:tcW w:type="dxa" w:w="1814"/>
          </w:tcPr>
          <w:p>
            <w:pPr>
              <w:spacing w:before="60" w:after="60"/>
            </w:pPr>
            <w:r/>
          </w:p>
        </w:tc>
        <w:tc>
          <w:tcPr>
            <w:tcW w:type="dxa" w:w="1814"/>
          </w:tcPr>
          <w:p>
            <w:pPr>
              <w:spacing w:before="60" w:after="60"/>
            </w:pPr>
            <w:r/>
          </w:p>
        </w:tc>
        <w:tc>
          <w:tcPr>
            <w:tcW w:type="dxa" w:w="2154"/>
          </w:tcPr>
          <w:p>
            <w:pPr>
              <w:spacing w:before="60" w:after="60"/>
            </w:pPr>
            <w:r/>
          </w:p>
        </w:tc>
      </w:tr>
    </w:tbl>
    <w:p>
      <w:pPr>
        <w:keepNext/>
        <w:pageBreakBefore/>
        <w:spacing w:before="240" w:after="80"/>
      </w:pPr>
      <w:r>
        <w:rPr>
          <w:b/>
          <w:color w:val="5D008F"/>
          <w:sz w:val="28"/>
        </w:rPr>
        <w:t>Votre liste de vérification pour le cas suivant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819"/>
            <w:shd w:val="clear" w:color="auto" w:fill="5D008F"/>
          </w:tcPr>
          <w:p>
            <w:pPr>
              <w:spacing w:before="60" w:after="60"/>
            </w:pPr>
            <w:r/>
            <w:r>
              <w:rPr>
                <w:b/>
                <w:color w:val="FFFFFF"/>
              </w:rPr>
              <w:t>Mon contrôle</w:t>
            </w:r>
          </w:p>
        </w:tc>
        <w:tc>
          <w:tcPr>
            <w:tcW w:type="dxa" w:w="4819"/>
            <w:shd w:val="clear" w:color="auto" w:fill="5D008F"/>
          </w:tcPr>
          <w:p>
            <w:pPr>
              <w:spacing w:before="60" w:after="60"/>
            </w:pPr>
            <w:r/>
            <w:r>
              <w:rPr>
                <w:b/>
                <w:color w:val="FFFFFF"/>
              </w:rPr>
              <w:t>Pourquoi</w:t>
            </w:r>
          </w:p>
        </w:tc>
      </w:tr>
      <w:tr>
        <w:trPr>
          <w:cantSplit w:val="true"/>
          <w:trHeight w:val="964"/>
        </w:trPr>
        <w:tc>
          <w:tcPr>
            <w:tcW w:type="dxa" w:w="4819"/>
          </w:tcPr>
          <w:p>
            <w:pPr>
              <w:spacing w:before="60" w:after="60"/>
            </w:pPr>
            <w:r>
              <w:rPr>
                <w:b/>
              </w:rPr>
            </w:r>
          </w:p>
        </w:tc>
        <w:tc>
          <w:tcPr>
            <w:tcW w:type="dxa" w:w="4819"/>
          </w:tcPr>
          <w:p>
            <w:pPr>
              <w:spacing w:before="60" w:after="60"/>
            </w:pPr>
            <w:r/>
          </w:p>
        </w:tc>
      </w:tr>
      <w:tr>
        <w:trPr>
          <w:cantSplit w:val="true"/>
          <w:trHeight w:val="964"/>
        </w:trPr>
        <w:tc>
          <w:tcPr>
            <w:tcW w:type="dxa" w:w="4819"/>
            <w:shd w:val="clear" w:color="auto" w:fill="F7F0FB"/>
          </w:tcPr>
          <w:p>
            <w:pPr>
              <w:spacing w:before="60" w:after="60"/>
            </w:pPr>
            <w:r>
              <w:rPr>
                <w:b/>
              </w:rPr>
            </w:r>
          </w:p>
        </w:tc>
        <w:tc>
          <w:tcPr>
            <w:tcW w:type="dxa" w:w="4819"/>
            <w:shd w:val="clear" w:color="auto" w:fill="F7F0FB"/>
          </w:tcPr>
          <w:p>
            <w:pPr>
              <w:spacing w:before="60" w:after="60"/>
            </w:pPr>
            <w:r/>
          </w:p>
        </w:tc>
      </w:tr>
      <w:tr>
        <w:trPr>
          <w:cantSplit w:val="true"/>
          <w:trHeight w:val="964"/>
        </w:trPr>
        <w:tc>
          <w:tcPr>
            <w:tcW w:type="dxa" w:w="4819"/>
          </w:tcPr>
          <w:p>
            <w:pPr>
              <w:spacing w:before="60" w:after="60"/>
            </w:pPr>
            <w:r>
              <w:rPr>
                <w:b/>
              </w:rPr>
            </w:r>
          </w:p>
        </w:tc>
        <w:tc>
          <w:tcPr>
            <w:tcW w:type="dxa" w:w="4819"/>
          </w:tcPr>
          <w:p>
            <w:pPr>
              <w:spacing w:before="60" w:after="60"/>
            </w:pPr>
            <w:r/>
          </w:p>
        </w:tc>
      </w:tr>
      <w:tr>
        <w:trPr>
          <w:cantSplit w:val="true"/>
          <w:trHeight w:val="964"/>
        </w:trPr>
        <w:tc>
          <w:tcPr>
            <w:tcW w:type="dxa" w:w="4819"/>
            <w:shd w:val="clear" w:color="auto" w:fill="F7F0FB"/>
          </w:tcPr>
          <w:p>
            <w:pPr>
              <w:spacing w:before="60" w:after="60"/>
            </w:pPr>
            <w:r>
              <w:rPr>
                <w:b/>
              </w:rPr>
            </w:r>
          </w:p>
        </w:tc>
        <w:tc>
          <w:tcPr>
            <w:tcW w:type="dxa" w:w="4819"/>
            <w:shd w:val="clear" w:color="auto" w:fill="F7F0FB"/>
          </w:tcPr>
          <w:p>
            <w:pPr>
              <w:spacing w:before="60" w:after="60"/>
            </w:pPr>
            <w:r/>
          </w:p>
        </w:tc>
      </w:tr>
      <w:tr>
        <w:trPr>
          <w:cantSplit w:val="true"/>
          <w:trHeight w:val="964"/>
        </w:trPr>
        <w:tc>
          <w:tcPr>
            <w:tcW w:type="dxa" w:w="4819"/>
          </w:tcPr>
          <w:p>
            <w:pPr>
              <w:spacing w:before="60" w:after="60"/>
            </w:pPr>
            <w:r>
              <w:rPr>
                <w:b/>
              </w:rPr>
            </w:r>
          </w:p>
        </w:tc>
        <w:tc>
          <w:tcPr>
            <w:tcW w:type="dxa" w:w="4819"/>
          </w:tcPr>
          <w:p>
            <w:pPr>
              <w:spacing w:before="60" w:after="60"/>
            </w:pPr>
            <w:r/>
          </w:p>
        </w:tc>
      </w:tr>
      <w:tr>
        <w:trPr>
          <w:cantSplit w:val="true"/>
          <w:trHeight w:val="964"/>
        </w:trPr>
        <w:tc>
          <w:tcPr>
            <w:tcW w:type="dxa" w:w="4819"/>
            <w:shd w:val="clear" w:color="auto" w:fill="F7F0FB"/>
          </w:tcPr>
          <w:p>
            <w:pPr>
              <w:spacing w:before="60" w:after="60"/>
            </w:pPr>
            <w:r>
              <w:rPr>
                <w:b/>
              </w:rPr>
            </w:r>
          </w:p>
        </w:tc>
        <w:tc>
          <w:tcPr>
            <w:tcW w:type="dxa" w:w="4819"/>
            <w:shd w:val="clear" w:color="auto" w:fill="F7F0FB"/>
          </w:tcPr>
          <w:p>
            <w:pPr>
              <w:spacing w:before="60" w:after="60"/>
            </w:pPr>
            <w:r/>
          </w:p>
        </w:tc>
      </w:tr>
    </w:tbl>
    <w:p>
      <w:pPr>
        <w:spacing w:before="160"/>
      </w:pPr>
      <w:r>
        <w:rPr>
          <w:i/>
          <w:color w:val="5A5766"/>
        </w:rPr>
        <w:t>Adaptation propre à Coursebox des méthodes d’articulation et de réflexion décrites dans Collins, A., Brown, J. S. et Holum, A. (1991) Cognitive apprenticeship: Making thinking visible. American Educator, 15(3). Les descriptions des critères sont des pistes de planification, et non une grille d’évaluation validée, et cette fiche ne donne aucun score. Vérifiez sur le terrain si la liste de vérification est utilisée.</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modèle gratuit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