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Community of Inquiry Cohort Planning Sheet</w:t>
      </w:r>
    </w:p>
    <w:p>
      <w:r>
        <w:rPr>
          <w:color w:val="5A5766"/>
          <w:sz w:val="22"/>
        </w:rPr>
        <w:t>A week-by-week planning sheet for a facilitated online or blended cohort, across the three presences of the Community of Inquiry framework (Garrison, Anderson and Archer, 2000): cognitive, social and teaching presence. The 'what to look for' list is our adaptation of the example indicators in the authors' 2000 coding template, which they built for research coding, so it gives no score. A hypothetical insurer's claims team leaders' cohort is filled in as an example.</w:t>
      </w:r>
    </w:p>
    <w:p>
      <w:r>
        <w:rPr>
          <w:i/>
          <w:color w:val="5A5766"/>
          <w:sz w:val="18"/>
        </w:rPr>
        <w:t>From the Coursebox blog: coursebox.ai/blog/a-guide-to-community-of-inquiry-coi-framework</w:t>
      </w:r>
    </w:p>
    <w:p>
      <w:pPr>
        <w:keepNext/>
        <w:spacing w:before="240" w:after="80"/>
      </w:pPr>
      <w:r>
        <w:rPr>
          <w:b/>
          <w:color w:val="5D008F"/>
          <w:sz w:val="28"/>
        </w:rPr>
        <w:t>How to use this sheet</w:t>
      </w:r>
    </w:p>
    <w:p>
      <w:pPr>
        <w:pStyle w:val="ListBullet"/>
      </w:pPr>
      <w:r>
        <w:t>Start with the cohort at a glance: who the learners are, the open problem they will work on and the evidence they will work from.</w:t>
      </w:r>
    </w:p>
    <w:p>
      <w:pPr>
        <w:pStyle w:val="ListBullet"/>
      </w:pPr>
      <w:r>
        <w:t>Write the resolution task before anything else: what each learner will try in their own work, and how they will report what happened.</w:t>
      </w:r>
    </w:p>
    <w:p>
      <w:pPr>
        <w:pStyle w:val="ListBullet"/>
      </w:pPr>
      <w:r>
        <w:t>Plan each week across all three presences. The presences work together, so fill in every column for every week rather than giving each presence its own week.</w:t>
      </w:r>
    </w:p>
    <w:p>
      <w:pPr>
        <w:pStyle w:val="ListBullet"/>
      </w:pPr>
      <w:r>
        <w:t>Name the facilitator and set aside their time. A week with no facilitator action is where discussions tend to stall at sharing stories.</w:t>
      </w:r>
    </w:p>
    <w:p>
      <w:pPr>
        <w:pStyle w:val="ListBullet"/>
      </w:pPr>
      <w:r>
        <w:t>During the cohort, read one week's thread against the 'what to look for' list and decide the facilitator's next move. Do not turn the list into a score.</w:t>
      </w:r>
    </w:p>
    <w:p>
      <w:pPr>
        <w:keepNext/>
        <w:pageBreakBefore/>
        <w:spacing w:before="240" w:after="80"/>
      </w:pPr>
      <w:r>
        <w:rPr>
          <w:b/>
          <w:color w:val="5D008F"/>
          <w:sz w:val="28"/>
        </w:rPr>
        <w:t>Worked example: the claims cohort at a glance</w:t>
      </w:r>
    </w:p>
    <w:p>
      <w:r>
        <w:t>Hypothetical example. Every figure in the training extract is invented for training, and leaders never post customer details from their own teams in the cohort space.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Item</w:t>
            </w:r>
          </w:p>
        </w:tc>
        <w:tc>
          <w:tcPr>
            <w:tcW w:type="dxa" w:w="7257"/>
            <w:shd w:val="clear" w:color="auto" w:fill="5D008F"/>
          </w:tcPr>
          <w:p>
            <w:pPr>
              <w:spacing w:before="60" w:after="60"/>
            </w:pPr>
            <w:r/>
            <w:r>
              <w:rPr>
                <w:b/>
                <w:color w:val="FFFFFF"/>
              </w:rPr>
              <w:t>Claims team leaders' cohort</w:t>
            </w:r>
          </w:p>
        </w:tc>
      </w:tr>
      <w:tr>
        <w:trPr>
          <w:cantSplit w:val="true"/>
        </w:trPr>
        <w:tc>
          <w:tcPr>
            <w:tcW w:type="dxa" w:w="2381"/>
          </w:tcPr>
          <w:p>
            <w:pPr>
              <w:spacing w:before="60" w:after="60"/>
            </w:pPr>
            <w:r>
              <w:rPr>
                <w:b/>
              </w:rPr>
              <w:t>Learners</w:t>
            </w:r>
          </w:p>
        </w:tc>
        <w:tc>
          <w:tcPr>
            <w:tcW w:type="dxa" w:w="7257"/>
          </w:tcPr>
          <w:p>
            <w:pPr>
              <w:spacing w:before="60" w:after="60"/>
            </w:pPr>
            <w:r>
              <w:t>12 claims team leaders at a home and contents insurer, from three regional offices, each leading 8 to 12 claims consultants. Most were promoted in the last 12 months. They know the claims system and policy wording; none has led an improvement review or a peer discussion.</w:t>
            </w:r>
          </w:p>
        </w:tc>
      </w:tr>
      <w:tr>
        <w:trPr>
          <w:cantSplit w:val="true"/>
        </w:trPr>
        <w:tc>
          <w:tcPr>
            <w:tcW w:type="dxa" w:w="2381"/>
            <w:shd w:val="clear" w:color="auto" w:fill="F7F0FB"/>
          </w:tcPr>
          <w:p>
            <w:pPr>
              <w:spacing w:before="60" w:after="60"/>
            </w:pPr>
            <w:r>
              <w:rPr>
                <w:b/>
              </w:rPr>
              <w:t>Format and time</w:t>
            </w:r>
          </w:p>
        </w:tc>
        <w:tc>
          <w:tcPr>
            <w:tcW w:type="dxa" w:w="7257"/>
            <w:shd w:val="clear" w:color="auto" w:fill="F7F0FB"/>
          </w:tcPr>
          <w:p>
            <w:pPr>
              <w:spacing w:before="60" w:after="60"/>
            </w:pPr>
            <w:r>
              <w:t>6 weeks, blended. About 2.5 hours a week per leader: about an hour in a self-paced course, the rest in the discussion space and three 60-minute live video sessions in weeks 1, 3 and 6.</w:t>
            </w:r>
          </w:p>
        </w:tc>
      </w:tr>
      <w:tr>
        <w:trPr>
          <w:cantSplit w:val="true"/>
        </w:trPr>
        <w:tc>
          <w:tcPr>
            <w:tcW w:type="dxa" w:w="2381"/>
          </w:tcPr>
          <w:p>
            <w:pPr>
              <w:spacing w:before="60" w:after="60"/>
            </w:pPr>
            <w:r>
              <w:rPr>
                <w:b/>
              </w:rPr>
              <w:t>Groups</w:t>
            </w:r>
          </w:p>
        </w:tc>
        <w:tc>
          <w:tcPr>
            <w:tcW w:type="dxa" w:w="7257"/>
          </w:tcPr>
          <w:p>
            <w:pPr>
              <w:spacing w:before="60" w:after="60"/>
            </w:pPr>
            <w:r>
              <w:t>Small groups of 4, mixed across the three offices, the same for all 6 weeks, with a group agreement on how to disagree about each other's offices.</w:t>
            </w:r>
          </w:p>
        </w:tc>
      </w:tr>
      <w:tr>
        <w:trPr>
          <w:cantSplit w:val="true"/>
        </w:trPr>
        <w:tc>
          <w:tcPr>
            <w:tcW w:type="dxa" w:w="2381"/>
            <w:shd w:val="clear" w:color="auto" w:fill="F7F0FB"/>
          </w:tcPr>
          <w:p>
            <w:pPr>
              <w:spacing w:before="60" w:after="60"/>
            </w:pPr>
            <w:r>
              <w:rPr>
                <w:b/>
              </w:rPr>
              <w:t>Facilitator</w:t>
            </w:r>
          </w:p>
        </w:tc>
        <w:tc>
          <w:tcPr>
            <w:tcW w:type="dxa" w:w="7257"/>
            <w:shd w:val="clear" w:color="auto" w:fill="F7F0FB"/>
          </w:tcPr>
          <w:p>
            <w:pPr>
              <w:spacing w:before="60" w:after="60"/>
            </w:pPr>
            <w:r>
              <w:t>A senior claims manager from another office, trained to facilitate, about 3 hours a week. From week 4 each group's rotating lead posts the group summary.</w:t>
            </w:r>
          </w:p>
        </w:tc>
      </w:tr>
      <w:tr>
        <w:trPr>
          <w:cantSplit w:val="true"/>
        </w:trPr>
        <w:tc>
          <w:tcPr>
            <w:tcW w:type="dxa" w:w="2381"/>
          </w:tcPr>
          <w:p>
            <w:pPr>
              <w:spacing w:before="60" w:after="60"/>
            </w:pPr>
            <w:r>
              <w:rPr>
                <w:b/>
              </w:rPr>
              <w:t>Open problem</w:t>
            </w:r>
          </w:p>
        </w:tc>
        <w:tc>
          <w:tcPr>
            <w:tcW w:type="dxa" w:w="7257"/>
          </w:tcPr>
          <w:p>
            <w:pPr>
              <w:spacing w:before="60" w:after="60"/>
            </w:pPr>
            <w:r>
              <w:t>Why do customers on storm claims stop hearing from us, and what would you change in your team?</w:t>
            </w:r>
          </w:p>
        </w:tc>
      </w:tr>
      <w:tr>
        <w:trPr>
          <w:cantSplit w:val="true"/>
        </w:trPr>
        <w:tc>
          <w:tcPr>
            <w:tcW w:type="dxa" w:w="2381"/>
            <w:shd w:val="clear" w:color="auto" w:fill="F7F0FB"/>
          </w:tcPr>
          <w:p>
            <w:pPr>
              <w:spacing w:before="60" w:after="60"/>
            </w:pPr>
            <w:r>
              <w:rPr>
                <w:b/>
              </w:rPr>
              <w:t>Evidence to work from</w:t>
            </w:r>
          </w:p>
        </w:tc>
        <w:tc>
          <w:tcPr>
            <w:tcW w:type="dxa" w:w="7257"/>
            <w:shd w:val="clear" w:color="auto" w:fill="F7F0FB"/>
          </w:tcPr>
          <w:p>
            <w:pPr>
              <w:spacing w:before="60" w:after="60"/>
            </w:pPr>
            <w:r>
              <w:t>A de-identified training extract of 20 storm claims (contact timeline, assessor dates, complaint text) and each office's customer update procedure.</w:t>
            </w:r>
          </w:p>
        </w:tc>
      </w:tr>
      <w:tr>
        <w:trPr>
          <w:cantSplit w:val="true"/>
        </w:trPr>
        <w:tc>
          <w:tcPr>
            <w:tcW w:type="dxa" w:w="2381"/>
          </w:tcPr>
          <w:p>
            <w:pPr>
              <w:spacing w:before="60" w:after="60"/>
            </w:pPr>
            <w:r>
              <w:rPr>
                <w:b/>
              </w:rPr>
              <w:t>Resolution task</w:t>
            </w:r>
          </w:p>
        </w:tc>
        <w:tc>
          <w:tcPr>
            <w:tcW w:type="dxa" w:w="7257"/>
          </w:tcPr>
          <w:p>
            <w:pPr>
              <w:spacing w:before="60" w:after="60"/>
            </w:pPr>
            <w:r>
              <w:t>Each leader trials one small change in their own team for 2 weeks, such as an update at least every 5 business days for claims awaiting an assessor report, keeps a trial log and reports at the week 6 live session.</w:t>
            </w:r>
          </w:p>
        </w:tc>
      </w:tr>
      <w:tr>
        <w:trPr>
          <w:cantSplit w:val="true"/>
        </w:trPr>
        <w:tc>
          <w:tcPr>
            <w:tcW w:type="dxa" w:w="2381"/>
            <w:shd w:val="clear" w:color="auto" w:fill="F7F0FB"/>
          </w:tcPr>
          <w:p>
            <w:pPr>
              <w:spacing w:before="60" w:after="60"/>
            </w:pPr>
            <w:r>
              <w:rPr>
                <w:b/>
              </w:rPr>
              <w:t>What you will judge</w:t>
            </w:r>
          </w:p>
        </w:tc>
        <w:tc>
          <w:tcPr>
            <w:tcW w:type="dxa" w:w="7257"/>
            <w:shd w:val="clear" w:color="auto" w:fill="F7F0FB"/>
          </w:tcPr>
          <w:p>
            <w:pPr>
              <w:spacing w:before="60" w:after="60"/>
            </w:pPr>
            <w:r>
              <w:t>Each group's week 4 explanation with the evidence for and against, and each leader's trial report. Not post counts. Not a proven drop in complaints.</w:t>
            </w:r>
          </w:p>
        </w:tc>
      </w:tr>
    </w:tbl>
    <w:p>
      <w:pPr>
        <w:keepNext/>
        <w:pageBreakBefore/>
        <w:spacing w:before="240" w:after="80"/>
      </w:pPr>
      <w:r>
        <w:rPr>
          <w:b/>
          <w:color w:val="5D008F"/>
          <w:sz w:val="28"/>
        </w:rPr>
        <w:t>Worked example: week by week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850"/>
            <w:shd w:val="clear" w:color="auto" w:fill="5D008F"/>
          </w:tcPr>
          <w:p>
            <w:pPr>
              <w:spacing w:before="60" w:after="60"/>
            </w:pPr>
            <w:r/>
            <w:r>
              <w:rPr>
                <w:b/>
                <w:color w:val="FFFFFF"/>
              </w:rPr>
              <w:t>Week</w:t>
            </w:r>
          </w:p>
        </w:tc>
        <w:tc>
          <w:tcPr>
            <w:tcW w:type="dxa" w:w="2494"/>
            <w:shd w:val="clear" w:color="auto" w:fill="5D008F"/>
          </w:tcPr>
          <w:p>
            <w:pPr>
              <w:spacing w:before="60" w:after="60"/>
            </w:pPr>
            <w:r/>
            <w:r>
              <w:rPr>
                <w:b/>
                <w:color w:val="FFFFFF"/>
              </w:rPr>
              <w:t>Cognitive presence</w:t>
            </w:r>
          </w:p>
        </w:tc>
        <w:tc>
          <w:tcPr>
            <w:tcW w:type="dxa" w:w="2041"/>
            <w:shd w:val="clear" w:color="auto" w:fill="5D008F"/>
          </w:tcPr>
          <w:p>
            <w:pPr>
              <w:spacing w:before="60" w:after="60"/>
            </w:pPr>
            <w:r/>
            <w:r>
              <w:rPr>
                <w:b/>
                <w:color w:val="FFFFFF"/>
              </w:rPr>
              <w:t>Social presence</w:t>
            </w:r>
          </w:p>
        </w:tc>
        <w:tc>
          <w:tcPr>
            <w:tcW w:type="dxa" w:w="2268"/>
            <w:shd w:val="clear" w:color="auto" w:fill="5D008F"/>
          </w:tcPr>
          <w:p>
            <w:pPr>
              <w:spacing w:before="60" w:after="60"/>
            </w:pPr>
            <w:r/>
            <w:r>
              <w:rPr>
                <w:b/>
                <w:color w:val="FFFFFF"/>
              </w:rPr>
              <w:t>Teaching presence</w:t>
            </w:r>
          </w:p>
        </w:tc>
        <w:tc>
          <w:tcPr>
            <w:tcW w:type="dxa" w:w="1984"/>
            <w:shd w:val="clear" w:color="auto" w:fill="5D008F"/>
          </w:tcPr>
          <w:p>
            <w:pPr>
              <w:spacing w:before="60" w:after="60"/>
            </w:pPr>
            <w:r/>
            <w:r>
              <w:rPr>
                <w:b/>
                <w:color w:val="FFFFFF"/>
              </w:rPr>
              <w:t>Evidence to look for</w:t>
            </w:r>
          </w:p>
        </w:tc>
      </w:tr>
      <w:tr>
        <w:trPr>
          <w:cantSplit w:val="true"/>
        </w:trPr>
        <w:tc>
          <w:tcPr>
            <w:tcW w:type="dxa" w:w="850"/>
          </w:tcPr>
          <w:p>
            <w:pPr>
              <w:spacing w:before="60" w:after="60"/>
            </w:pPr>
            <w:r>
              <w:rPr>
                <w:b/>
              </w:rPr>
              <w:t>1</w:t>
            </w:r>
          </w:p>
        </w:tc>
        <w:tc>
          <w:tcPr>
            <w:tcW w:type="dxa" w:w="2494"/>
          </w:tcPr>
          <w:p>
            <w:pPr>
              <w:spacing w:before="60" w:after="60"/>
            </w:pPr>
            <w:r>
              <w:t>The inquiry starts in the introductions: each leader names one storm claim that went badly and why, and the facilitator notes patterns for week 2</w:t>
            </w:r>
          </w:p>
        </w:tc>
        <w:tc>
          <w:tcPr>
            <w:tcW w:type="dxa" w:w="2041"/>
          </w:tcPr>
          <w:p>
            <w:pPr>
              <w:spacing w:before="60" w:after="60"/>
            </w:pPr>
            <w:r>
              <w:t>Introductions tied to a storm claim; groups of 4 formed; group agreement; live session 1</w:t>
            </w:r>
          </w:p>
        </w:tc>
        <w:tc>
          <w:tcPr>
            <w:tcW w:type="dxa" w:w="2268"/>
          </w:tcPr>
          <w:p>
            <w:pPr>
              <w:spacing w:before="60" w:after="60"/>
            </w:pPr>
            <w:r>
              <w:t>Facilitator posts first, with a specific, first-person introduction</w:t>
            </w:r>
          </w:p>
        </w:tc>
        <w:tc>
          <w:tcPr>
            <w:tcW w:type="dxa" w:w="1984"/>
          </w:tcPr>
          <w:p>
            <w:pPr>
              <w:spacing w:before="60" w:after="60"/>
            </w:pPr>
            <w:r>
              <w:t>Every leader has posted and replied within their group</w:t>
            </w:r>
          </w:p>
        </w:tc>
      </w:tr>
      <w:tr>
        <w:trPr>
          <w:cantSplit w:val="true"/>
        </w:trPr>
        <w:tc>
          <w:tcPr>
            <w:tcW w:type="dxa" w:w="850"/>
            <w:shd w:val="clear" w:color="auto" w:fill="F7F0FB"/>
          </w:tcPr>
          <w:p>
            <w:pPr>
              <w:spacing w:before="60" w:after="60"/>
            </w:pPr>
            <w:r>
              <w:rPr>
                <w:b/>
              </w:rPr>
              <w:t>2</w:t>
            </w:r>
          </w:p>
        </w:tc>
        <w:tc>
          <w:tcPr>
            <w:tcW w:type="dxa" w:w="2494"/>
            <w:shd w:val="clear" w:color="auto" w:fill="F7F0FB"/>
          </w:tcPr>
          <w:p>
            <w:pPr>
              <w:spacing w:before="60" w:after="60"/>
            </w:pPr>
            <w:r>
              <w:t>Triggering event: the 20-claim extract and the open question; each leader reviews 5 claims</w:t>
            </w:r>
          </w:p>
        </w:tc>
        <w:tc>
          <w:tcPr>
            <w:tcW w:type="dxa" w:w="2041"/>
            <w:shd w:val="clear" w:color="auto" w:fill="F7F0FB"/>
          </w:tcPr>
          <w:p>
            <w:pPr>
              <w:spacing w:before="60" w:after="60"/>
            </w:pPr>
            <w:r>
              <w:t>Replies to two colleagues from another office by Thursday</w:t>
            </w:r>
          </w:p>
        </w:tc>
        <w:tc>
          <w:tcPr>
            <w:tcW w:type="dxa" w:w="2268"/>
            <w:shd w:val="clear" w:color="auto" w:fill="F7F0FB"/>
          </w:tcPr>
          <w:p>
            <w:pPr>
              <w:spacing w:before="60" w:after="60"/>
            </w:pPr>
            <w:r>
              <w:t>Facilitator summarises the thread on Friday and asks one probing question</w:t>
            </w:r>
          </w:p>
        </w:tc>
        <w:tc>
          <w:tcPr>
            <w:tcW w:type="dxa" w:w="1984"/>
            <w:shd w:val="clear" w:color="auto" w:fill="F7F0FB"/>
          </w:tcPr>
          <w:p>
            <w:pPr>
              <w:spacing w:before="60" w:after="60"/>
            </w:pPr>
            <w:r>
              <w:t>Posts cite claim numbers</w:t>
            </w:r>
          </w:p>
        </w:tc>
      </w:tr>
      <w:tr>
        <w:trPr>
          <w:cantSplit w:val="true"/>
        </w:trPr>
        <w:tc>
          <w:tcPr>
            <w:tcW w:type="dxa" w:w="850"/>
          </w:tcPr>
          <w:p>
            <w:pPr>
              <w:spacing w:before="60" w:after="60"/>
            </w:pPr>
            <w:r>
              <w:rPr>
                <w:b/>
              </w:rPr>
              <w:t>3</w:t>
            </w:r>
          </w:p>
        </w:tc>
        <w:tc>
          <w:tcPr>
            <w:tcW w:type="dxa" w:w="2494"/>
          </w:tcPr>
          <w:p>
            <w:pPr>
              <w:spacing w:before="60" w:after="60"/>
            </w:pPr>
            <w:r>
              <w:t>Exploration: compare the three offices' update procedures; each leader asks one consultant in their own team how they decide when to call a customer</w:t>
            </w:r>
          </w:p>
        </w:tc>
        <w:tc>
          <w:tcPr>
            <w:tcW w:type="dxa" w:w="2041"/>
          </w:tcPr>
          <w:p>
            <w:pPr>
              <w:spacing w:before="60" w:after="60"/>
            </w:pPr>
            <w:r>
              <w:t>Groups discuss differences between offices without blame</w:t>
            </w:r>
          </w:p>
        </w:tc>
        <w:tc>
          <w:tcPr>
            <w:tcW w:type="dxa" w:w="2268"/>
          </w:tcPr>
          <w:p>
            <w:pPr>
              <w:spacing w:before="60" w:after="60"/>
            </w:pPr>
            <w:r>
              <w:t>Live session 2; prompts such as 'What explains the difference?' and 'What evidence in the extract supports that?'</w:t>
            </w:r>
          </w:p>
        </w:tc>
        <w:tc>
          <w:tcPr>
            <w:tcW w:type="dxa" w:w="1984"/>
          </w:tcPr>
          <w:p>
            <w:pPr>
              <w:spacing w:before="60" w:after="60"/>
            </w:pPr>
            <w:r>
              <w:t>Posts move from stories to explanations</w:t>
            </w:r>
          </w:p>
        </w:tc>
      </w:tr>
      <w:tr>
        <w:trPr>
          <w:cantSplit w:val="true"/>
        </w:trPr>
        <w:tc>
          <w:tcPr>
            <w:tcW w:type="dxa" w:w="850"/>
            <w:shd w:val="clear" w:color="auto" w:fill="F7F0FB"/>
          </w:tcPr>
          <w:p>
            <w:pPr>
              <w:spacing w:before="60" w:after="60"/>
            </w:pPr>
            <w:r>
              <w:rPr>
                <w:b/>
              </w:rPr>
              <w:t>4</w:t>
            </w:r>
          </w:p>
        </w:tc>
        <w:tc>
          <w:tcPr>
            <w:tcW w:type="dxa" w:w="2494"/>
            <w:shd w:val="clear" w:color="auto" w:fill="F7F0FB"/>
          </w:tcPr>
          <w:p>
            <w:pPr>
              <w:spacing w:before="60" w:after="60"/>
            </w:pPr>
            <w:r>
              <w:t>Integration: each group builds one explanation and one proposed change and checks it against the 20 claims</w:t>
            </w:r>
          </w:p>
        </w:tc>
        <w:tc>
          <w:tcPr>
            <w:tcW w:type="dxa" w:w="2041"/>
            <w:shd w:val="clear" w:color="auto" w:fill="F7F0FB"/>
          </w:tcPr>
          <w:p>
            <w:pPr>
              <w:spacing w:before="60" w:after="60"/>
            </w:pPr>
            <w:r>
              <w:t>Rotating group lead posts the group's summary</w:t>
            </w:r>
          </w:p>
        </w:tc>
        <w:tc>
          <w:tcPr>
            <w:tcW w:type="dxa" w:w="2268"/>
            <w:shd w:val="clear" w:color="auto" w:fill="F7F0FB"/>
          </w:tcPr>
          <w:p>
            <w:pPr>
              <w:spacing w:before="60" w:after="60"/>
            </w:pPr>
            <w:r>
              <w:t>Short explainer on root-cause questions; corrections to misread procedures</w:t>
            </w:r>
          </w:p>
        </w:tc>
        <w:tc>
          <w:tcPr>
            <w:tcW w:type="dxa" w:w="1984"/>
            <w:shd w:val="clear" w:color="auto" w:fill="F7F0FB"/>
          </w:tcPr>
          <w:p>
            <w:pPr>
              <w:spacing w:before="60" w:after="60"/>
            </w:pPr>
            <w:r>
              <w:t>A group post with the evidence for and against</w:t>
            </w:r>
          </w:p>
        </w:tc>
      </w:tr>
      <w:tr>
        <w:trPr>
          <w:cantSplit w:val="true"/>
        </w:trPr>
        <w:tc>
          <w:tcPr>
            <w:tcW w:type="dxa" w:w="850"/>
          </w:tcPr>
          <w:p>
            <w:pPr>
              <w:spacing w:before="60" w:after="60"/>
            </w:pPr>
            <w:r>
              <w:rPr>
                <w:b/>
              </w:rPr>
              <w:t>5 and 6</w:t>
            </w:r>
          </w:p>
        </w:tc>
        <w:tc>
          <w:tcPr>
            <w:tcW w:type="dxa" w:w="2494"/>
          </w:tcPr>
          <w:p>
            <w:pPr>
              <w:spacing w:before="60" w:after="60"/>
            </w:pPr>
            <w:r>
              <w:t>Resolution: each leader trials one change in their own team for 2 weeks and keeps a trial log</w:t>
            </w:r>
          </w:p>
        </w:tc>
        <w:tc>
          <w:tcPr>
            <w:tcW w:type="dxa" w:w="2041"/>
          </w:tcPr>
          <w:p>
            <w:pPr>
              <w:spacing w:before="60" w:after="60"/>
            </w:pPr>
            <w:r>
              <w:t>Groups comment on each other's trial plans</w:t>
            </w:r>
          </w:p>
        </w:tc>
        <w:tc>
          <w:tcPr>
            <w:tcW w:type="dxa" w:w="2268"/>
          </w:tcPr>
          <w:p>
            <w:pPr>
              <w:spacing w:before="60" w:after="60"/>
            </w:pPr>
            <w:r>
              <w:t>Facilitator checks trial plans; live session 3 closes the inquiry</w:t>
            </w:r>
          </w:p>
        </w:tc>
        <w:tc>
          <w:tcPr>
            <w:tcW w:type="dxa" w:w="1984"/>
          </w:tcPr>
          <w:p>
            <w:pPr>
              <w:spacing w:before="60" w:after="60"/>
            </w:pPr>
            <w:r>
              <w:t>Trial reports at the week 6 live session</w:t>
            </w:r>
          </w:p>
        </w:tc>
      </w:tr>
    </w:tbl>
    <w:p>
      <w:pPr>
        <w:spacing w:before="160"/>
      </w:pPr>
      <w:r>
        <w:rPr>
          <w:i/>
          <w:color w:val="5A5766"/>
        </w:rPr>
        <w:t>The phases are a design intention, not a lock-step timetable. A trial can raise a new question and send a group back to exploration in week 6.</w:t>
      </w:r>
    </w:p>
    <w:p>
      <w:pPr>
        <w:keepNext/>
        <w:pageBreakBefore/>
        <w:spacing w:before="240" w:after="80"/>
      </w:pPr>
      <w:r>
        <w:rPr>
          <w:b/>
          <w:color w:val="5D008F"/>
          <w:sz w:val="28"/>
        </w:rPr>
        <w:t>What to look for in a week's posts</w:t>
      </w:r>
    </w:p>
    <w:p>
      <w:r>
        <w:t>Adapted from the example indicators in Garrison, Anderson and Archer's 2000 coding template ('Indicators (examples only)') and the 2001 teaching presence categories, using today's category names. Use it to decide the next move, not to score anyone.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474"/>
            <w:shd w:val="clear" w:color="auto" w:fill="5D008F"/>
          </w:tcPr>
          <w:p>
            <w:pPr>
              <w:spacing w:before="60" w:after="60"/>
            </w:pPr>
            <w:r/>
            <w:r>
              <w:rPr>
                <w:b/>
                <w:color w:val="FFFFFF"/>
              </w:rPr>
              <w:t>Presence</w:t>
            </w:r>
          </w:p>
        </w:tc>
        <w:tc>
          <w:tcPr>
            <w:tcW w:type="dxa" w:w="1814"/>
            <w:shd w:val="clear" w:color="auto" w:fill="5D008F"/>
          </w:tcPr>
          <w:p>
            <w:pPr>
              <w:spacing w:before="60" w:after="60"/>
            </w:pPr>
            <w:r/>
            <w:r>
              <w:rPr>
                <w:b/>
                <w:color w:val="FFFFFF"/>
              </w:rPr>
              <w:t>Category</w:t>
            </w:r>
          </w:p>
        </w:tc>
        <w:tc>
          <w:tcPr>
            <w:tcW w:type="dxa" w:w="3175"/>
            <w:shd w:val="clear" w:color="auto" w:fill="5D008F"/>
          </w:tcPr>
          <w:p>
            <w:pPr>
              <w:spacing w:before="60" w:after="60"/>
            </w:pPr>
            <w:r/>
            <w:r>
              <w:rPr>
                <w:b/>
                <w:color w:val="FFFFFF"/>
              </w:rPr>
              <w:t>Example indicators</w:t>
            </w:r>
          </w:p>
        </w:tc>
        <w:tc>
          <w:tcPr>
            <w:tcW w:type="dxa" w:w="3175"/>
            <w:shd w:val="clear" w:color="auto" w:fill="5D008F"/>
          </w:tcPr>
          <w:p>
            <w:pPr>
              <w:spacing w:before="60" w:after="60"/>
            </w:pPr>
            <w:r/>
            <w:r>
              <w:rPr>
                <w:b/>
                <w:color w:val="FFFFFF"/>
              </w:rPr>
              <w:t>If it is missing, try</w:t>
            </w:r>
          </w:p>
        </w:tc>
      </w:tr>
      <w:tr>
        <w:trPr>
          <w:cantSplit w:val="true"/>
        </w:trPr>
        <w:tc>
          <w:tcPr>
            <w:tcW w:type="dxa" w:w="1474"/>
          </w:tcPr>
          <w:p>
            <w:pPr>
              <w:spacing w:before="60" w:after="60"/>
            </w:pPr>
            <w:r>
              <w:rPr>
                <w:b/>
              </w:rPr>
              <w:t>Cognitive</w:t>
            </w:r>
          </w:p>
        </w:tc>
        <w:tc>
          <w:tcPr>
            <w:tcW w:type="dxa" w:w="1814"/>
          </w:tcPr>
          <w:p>
            <w:pPr>
              <w:spacing w:before="60" w:after="60"/>
            </w:pPr>
            <w:r>
              <w:t>Triggering event</w:t>
            </w:r>
          </w:p>
        </w:tc>
        <w:tc>
          <w:tcPr>
            <w:tcW w:type="dxa" w:w="3175"/>
          </w:tcPr>
          <w:p>
            <w:pPr>
              <w:spacing w:before="60" w:after="60"/>
            </w:pPr>
            <w:r>
              <w:t>Recognising the problem; a sense of puzzlement</w:t>
            </w:r>
          </w:p>
        </w:tc>
        <w:tc>
          <w:tcPr>
            <w:tcW w:type="dxa" w:w="3175"/>
          </w:tcPr>
          <w:p>
            <w:pPr>
              <w:spacing w:before="60" w:after="60"/>
            </w:pPr>
            <w:r>
              <w:t>Post the open question with the evidence, not a topic</w:t>
            </w:r>
          </w:p>
        </w:tc>
      </w:tr>
      <w:tr>
        <w:trPr>
          <w:cantSplit w:val="true"/>
        </w:trPr>
        <w:tc>
          <w:tcPr>
            <w:tcW w:type="dxa" w:w="1474"/>
            <w:shd w:val="clear" w:color="auto" w:fill="F7F0FB"/>
          </w:tcPr>
          <w:p>
            <w:pPr>
              <w:spacing w:before="60" w:after="60"/>
            </w:pPr>
            <w:r>
              <w:rPr>
                <w:b/>
              </w:rPr>
              <w:t>Cognitive</w:t>
            </w:r>
          </w:p>
        </w:tc>
        <w:tc>
          <w:tcPr>
            <w:tcW w:type="dxa" w:w="1814"/>
            <w:shd w:val="clear" w:color="auto" w:fill="F7F0FB"/>
          </w:tcPr>
          <w:p>
            <w:pPr>
              <w:spacing w:before="60" w:after="60"/>
            </w:pPr>
            <w:r>
              <w:t>Exploration</w:t>
            </w:r>
          </w:p>
        </w:tc>
        <w:tc>
          <w:tcPr>
            <w:tcW w:type="dxa" w:w="3175"/>
            <w:shd w:val="clear" w:color="auto" w:fill="F7F0FB"/>
          </w:tcPr>
          <w:p>
            <w:pPr>
              <w:spacing w:before="60" w:after="60"/>
            </w:pPr>
            <w:r>
              <w:t>Exchanging information; discussing what is unclear</w:t>
            </w:r>
          </w:p>
        </w:tc>
        <w:tc>
          <w:tcPr>
            <w:tcW w:type="dxa" w:w="3175"/>
            <w:shd w:val="clear" w:color="auto" w:fill="F7F0FB"/>
          </w:tcPr>
          <w:p>
            <w:pPr>
              <w:spacing w:before="60" w:after="60"/>
            </w:pPr>
            <w:r>
              <w:t>Ask each learner to post what they saw in their own share of the evidence</w:t>
            </w:r>
          </w:p>
        </w:tc>
      </w:tr>
      <w:tr>
        <w:trPr>
          <w:cantSplit w:val="true"/>
        </w:trPr>
        <w:tc>
          <w:tcPr>
            <w:tcW w:type="dxa" w:w="1474"/>
          </w:tcPr>
          <w:p>
            <w:pPr>
              <w:spacing w:before="60" w:after="60"/>
            </w:pPr>
            <w:r>
              <w:rPr>
                <w:b/>
              </w:rPr>
              <w:t>Cognitive</w:t>
            </w:r>
          </w:p>
        </w:tc>
        <w:tc>
          <w:tcPr>
            <w:tcW w:type="dxa" w:w="1814"/>
          </w:tcPr>
          <w:p>
            <w:pPr>
              <w:spacing w:before="60" w:after="60"/>
            </w:pPr>
            <w:r>
              <w:t>Integration</w:t>
            </w:r>
          </w:p>
        </w:tc>
        <w:tc>
          <w:tcPr>
            <w:tcW w:type="dxa" w:w="3175"/>
          </w:tcPr>
          <w:p>
            <w:pPr>
              <w:spacing w:before="60" w:after="60"/>
            </w:pPr>
            <w:r>
              <w:t>Connecting ideas; creating solutions</w:t>
            </w:r>
          </w:p>
        </w:tc>
        <w:tc>
          <w:tcPr>
            <w:tcW w:type="dxa" w:w="3175"/>
          </w:tcPr>
          <w:p>
            <w:pPr>
              <w:spacing w:before="60" w:after="60"/>
            </w:pPr>
            <w:r>
              <w:t>Ask 'What explains the difference?' and set a group explanation with a deadline</w:t>
            </w:r>
          </w:p>
        </w:tc>
      </w:tr>
      <w:tr>
        <w:trPr>
          <w:cantSplit w:val="true"/>
        </w:trPr>
        <w:tc>
          <w:tcPr>
            <w:tcW w:type="dxa" w:w="1474"/>
            <w:shd w:val="clear" w:color="auto" w:fill="F7F0FB"/>
          </w:tcPr>
          <w:p>
            <w:pPr>
              <w:spacing w:before="60" w:after="60"/>
            </w:pPr>
            <w:r>
              <w:rPr>
                <w:b/>
              </w:rPr>
              <w:t>Cognitive</w:t>
            </w:r>
          </w:p>
        </w:tc>
        <w:tc>
          <w:tcPr>
            <w:tcW w:type="dxa" w:w="1814"/>
            <w:shd w:val="clear" w:color="auto" w:fill="F7F0FB"/>
          </w:tcPr>
          <w:p>
            <w:pPr>
              <w:spacing w:before="60" w:after="60"/>
            </w:pPr>
            <w:r>
              <w:t>Resolution</w:t>
            </w:r>
          </w:p>
        </w:tc>
        <w:tc>
          <w:tcPr>
            <w:tcW w:type="dxa" w:w="3175"/>
            <w:shd w:val="clear" w:color="auto" w:fill="F7F0FB"/>
          </w:tcPr>
          <w:p>
            <w:pPr>
              <w:spacing w:before="60" w:after="60"/>
            </w:pPr>
            <w:r>
              <w:t>Applying new ideas; critically assessing solutions</w:t>
            </w:r>
          </w:p>
        </w:tc>
        <w:tc>
          <w:tcPr>
            <w:tcW w:type="dxa" w:w="3175"/>
            <w:shd w:val="clear" w:color="auto" w:fill="F7F0FB"/>
          </w:tcPr>
          <w:p>
            <w:pPr>
              <w:spacing w:before="60" w:after="60"/>
            </w:pPr>
            <w:r>
              <w:t>Set a trial in learners' own work and a date to report back</w:t>
            </w:r>
          </w:p>
        </w:tc>
      </w:tr>
      <w:tr>
        <w:trPr>
          <w:cantSplit w:val="true"/>
        </w:trPr>
        <w:tc>
          <w:tcPr>
            <w:tcW w:type="dxa" w:w="1474"/>
          </w:tcPr>
          <w:p>
            <w:pPr>
              <w:spacing w:before="60" w:after="60"/>
            </w:pPr>
            <w:r>
              <w:rPr>
                <w:b/>
              </w:rPr>
              <w:t>Social</w:t>
            </w:r>
          </w:p>
        </w:tc>
        <w:tc>
          <w:tcPr>
            <w:tcW w:type="dxa" w:w="1814"/>
          </w:tcPr>
          <w:p>
            <w:pPr>
              <w:spacing w:before="60" w:after="60"/>
            </w:pPr>
            <w:r>
              <w:t>Affective expression</w:t>
            </w:r>
          </w:p>
        </w:tc>
        <w:tc>
          <w:tcPr>
            <w:tcW w:type="dxa" w:w="3175"/>
          </w:tcPr>
          <w:p>
            <w:pPr>
              <w:spacing w:before="60" w:after="60"/>
            </w:pPr>
            <w:r>
              <w:t>Expressing feelings; personal stories</w:t>
            </w:r>
          </w:p>
        </w:tc>
        <w:tc>
          <w:tcPr>
            <w:tcW w:type="dxa" w:w="3175"/>
          </w:tcPr>
          <w:p>
            <w:pPr>
              <w:spacing w:before="60" w:after="60"/>
            </w:pPr>
            <w:r>
              <w:t>Tie introductions to the work, such as one case they still think about</w:t>
            </w:r>
          </w:p>
        </w:tc>
      </w:tr>
      <w:tr>
        <w:trPr>
          <w:cantSplit w:val="true"/>
        </w:trPr>
        <w:tc>
          <w:tcPr>
            <w:tcW w:type="dxa" w:w="1474"/>
            <w:shd w:val="clear" w:color="auto" w:fill="F7F0FB"/>
          </w:tcPr>
          <w:p>
            <w:pPr>
              <w:spacing w:before="60" w:after="60"/>
            </w:pPr>
            <w:r>
              <w:rPr>
                <w:b/>
              </w:rPr>
              <w:t>Social</w:t>
            </w:r>
          </w:p>
        </w:tc>
        <w:tc>
          <w:tcPr>
            <w:tcW w:type="dxa" w:w="1814"/>
            <w:shd w:val="clear" w:color="auto" w:fill="F7F0FB"/>
          </w:tcPr>
          <w:p>
            <w:pPr>
              <w:spacing w:before="60" w:after="60"/>
            </w:pPr>
            <w:r>
              <w:t>Open communication</w:t>
            </w:r>
          </w:p>
        </w:tc>
        <w:tc>
          <w:tcPr>
            <w:tcW w:type="dxa" w:w="3175"/>
            <w:shd w:val="clear" w:color="auto" w:fill="F7F0FB"/>
          </w:tcPr>
          <w:p>
            <w:pPr>
              <w:spacing w:before="60" w:after="60"/>
            </w:pPr>
            <w:r>
              <w:t>Risk-free expression; acknowledging others; being encouraging</w:t>
            </w:r>
          </w:p>
        </w:tc>
        <w:tc>
          <w:tcPr>
            <w:tcW w:type="dxa" w:w="3175"/>
            <w:shd w:val="clear" w:color="auto" w:fill="F7F0FB"/>
          </w:tcPr>
          <w:p>
            <w:pPr>
              <w:spacing w:before="60" w:after="60"/>
            </w:pPr>
            <w:r>
              <w:t>Model replies that restate a colleague's point before questioning it</w:t>
            </w:r>
          </w:p>
        </w:tc>
      </w:tr>
      <w:tr>
        <w:trPr>
          <w:cantSplit w:val="true"/>
        </w:trPr>
        <w:tc>
          <w:tcPr>
            <w:tcW w:type="dxa" w:w="1474"/>
          </w:tcPr>
          <w:p>
            <w:pPr>
              <w:spacing w:before="60" w:after="60"/>
            </w:pPr>
            <w:r>
              <w:rPr>
                <w:b/>
              </w:rPr>
              <w:t>Social</w:t>
            </w:r>
          </w:p>
        </w:tc>
        <w:tc>
          <w:tcPr>
            <w:tcW w:type="dxa" w:w="1814"/>
          </w:tcPr>
          <w:p>
            <w:pPr>
              <w:spacing w:before="60" w:after="60"/>
            </w:pPr>
            <w:r>
              <w:t>Group cohesion</w:t>
            </w:r>
          </w:p>
        </w:tc>
        <w:tc>
          <w:tcPr>
            <w:tcW w:type="dxa" w:w="3175"/>
          </w:tcPr>
          <w:p>
            <w:pPr>
              <w:spacing w:before="60" w:after="60"/>
            </w:pPr>
            <w:r>
              <w:t>Encouraging collaboration; helping and supporting</w:t>
            </w:r>
          </w:p>
        </w:tc>
        <w:tc>
          <w:tcPr>
            <w:tcW w:type="dxa" w:w="3175"/>
          </w:tcPr>
          <w:p>
            <w:pPr>
              <w:spacing w:before="60" w:after="60"/>
            </w:pPr>
            <w:r>
              <w:t>Keep groups stable and give them a shared task</w:t>
            </w:r>
          </w:p>
        </w:tc>
      </w:tr>
      <w:tr>
        <w:trPr>
          <w:cantSplit w:val="true"/>
        </w:trPr>
        <w:tc>
          <w:tcPr>
            <w:tcW w:type="dxa" w:w="1474"/>
            <w:shd w:val="clear" w:color="auto" w:fill="F7F0FB"/>
          </w:tcPr>
          <w:p>
            <w:pPr>
              <w:spacing w:before="60" w:after="60"/>
            </w:pPr>
            <w:r>
              <w:rPr>
                <w:b/>
              </w:rPr>
              <w:t>Teaching</w:t>
            </w:r>
          </w:p>
        </w:tc>
        <w:tc>
          <w:tcPr>
            <w:tcW w:type="dxa" w:w="1814"/>
            <w:shd w:val="clear" w:color="auto" w:fill="F7F0FB"/>
          </w:tcPr>
          <w:p>
            <w:pPr>
              <w:spacing w:before="60" w:after="60"/>
            </w:pPr>
            <w:r>
              <w:t>Design and organisation</w:t>
            </w:r>
          </w:p>
        </w:tc>
        <w:tc>
          <w:tcPr>
            <w:tcW w:type="dxa" w:w="3175"/>
            <w:shd w:val="clear" w:color="auto" w:fill="F7F0FB"/>
          </w:tcPr>
          <w:p>
            <w:pPr>
              <w:spacing w:before="60" w:after="60"/>
            </w:pPr>
            <w:r>
              <w:t>Setting the curriculum and methods; time limits; netiquette</w:t>
            </w:r>
          </w:p>
        </w:tc>
        <w:tc>
          <w:tcPr>
            <w:tcW w:type="dxa" w:w="3175"/>
            <w:shd w:val="clear" w:color="auto" w:fill="F7F0FB"/>
          </w:tcPr>
          <w:p>
            <w:pPr>
              <w:spacing w:before="60" w:after="60"/>
            </w:pPr>
            <w:r>
              <w:t>Add deadlines and a group agreement</w:t>
            </w:r>
          </w:p>
        </w:tc>
      </w:tr>
      <w:tr>
        <w:trPr>
          <w:cantSplit w:val="true"/>
        </w:trPr>
        <w:tc>
          <w:tcPr>
            <w:tcW w:type="dxa" w:w="1474"/>
          </w:tcPr>
          <w:p>
            <w:pPr>
              <w:spacing w:before="60" w:after="60"/>
            </w:pPr>
            <w:r>
              <w:rPr>
                <w:b/>
              </w:rPr>
              <w:t>Teaching</w:t>
            </w:r>
          </w:p>
        </w:tc>
        <w:tc>
          <w:tcPr>
            <w:tcW w:type="dxa" w:w="1814"/>
          </w:tcPr>
          <w:p>
            <w:pPr>
              <w:spacing w:before="60" w:after="60"/>
            </w:pPr>
            <w:r>
              <w:t>Facilitating discourse</w:t>
            </w:r>
          </w:p>
        </w:tc>
        <w:tc>
          <w:tcPr>
            <w:tcW w:type="dxa" w:w="3175"/>
          </w:tcPr>
          <w:p>
            <w:pPr>
              <w:spacing w:before="60" w:after="60"/>
            </w:pPr>
            <w:r>
              <w:t>Finding agreement and disagreement; drawing in participants; setting the climate</w:t>
            </w:r>
          </w:p>
        </w:tc>
        <w:tc>
          <w:tcPr>
            <w:tcW w:type="dxa" w:w="3175"/>
          </w:tcPr>
          <w:p>
            <w:pPr>
              <w:spacing w:before="60" w:after="60"/>
            </w:pPr>
            <w:r>
              <w:t>Post a weekly summary; message quiet learners privately</w:t>
            </w:r>
          </w:p>
        </w:tc>
      </w:tr>
      <w:tr>
        <w:trPr>
          <w:cantSplit w:val="true"/>
        </w:trPr>
        <w:tc>
          <w:tcPr>
            <w:tcW w:type="dxa" w:w="1474"/>
            <w:shd w:val="clear" w:color="auto" w:fill="F7F0FB"/>
          </w:tcPr>
          <w:p>
            <w:pPr>
              <w:spacing w:before="60" w:after="60"/>
            </w:pPr>
            <w:r>
              <w:rPr>
                <w:b/>
              </w:rPr>
              <w:t>Teaching</w:t>
            </w:r>
          </w:p>
        </w:tc>
        <w:tc>
          <w:tcPr>
            <w:tcW w:type="dxa" w:w="1814"/>
            <w:shd w:val="clear" w:color="auto" w:fill="F7F0FB"/>
          </w:tcPr>
          <w:p>
            <w:pPr>
              <w:spacing w:before="60" w:after="60"/>
            </w:pPr>
            <w:r>
              <w:t>Direct instruction</w:t>
            </w:r>
          </w:p>
        </w:tc>
        <w:tc>
          <w:tcPr>
            <w:tcW w:type="dxa" w:w="3175"/>
            <w:shd w:val="clear" w:color="auto" w:fill="F7F0FB"/>
          </w:tcPr>
          <w:p>
            <w:pPr>
              <w:spacing w:before="60" w:after="60"/>
            </w:pPr>
            <w:r>
              <w:t>Focusing and summarising discussion; diagnosing misconceptions; adding knowledge</w:t>
            </w:r>
          </w:p>
        </w:tc>
        <w:tc>
          <w:tcPr>
            <w:tcW w:type="dxa" w:w="3175"/>
            <w:shd w:val="clear" w:color="auto" w:fill="F7F0FB"/>
          </w:tcPr>
          <w:p>
            <w:pPr>
              <w:spacing w:before="60" w:after="60"/>
            </w:pPr>
            <w:r>
              <w:t>Correct a misread procedure; add a short explainer when the group needs a method</w:t>
            </w:r>
          </w:p>
        </w:tc>
      </w:tr>
    </w:tbl>
    <w:p>
      <w:pPr>
        <w:keepNext/>
        <w:pageBreakBefore/>
        <w:spacing w:before="240" w:after="80"/>
      </w:pPr>
      <w:r>
        <w:rPr>
          <w:b/>
          <w:color w:val="5D008F"/>
          <w:sz w:val="28"/>
        </w:rPr>
        <w:t>Your cohort at a glance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Item</w:t>
            </w:r>
          </w:p>
        </w:tc>
        <w:tc>
          <w:tcPr>
            <w:tcW w:type="dxa" w:w="7257"/>
            <w:shd w:val="clear" w:color="auto" w:fill="5D008F"/>
          </w:tcPr>
          <w:p>
            <w:pPr>
              <w:spacing w:before="60" w:after="60"/>
            </w:pPr>
            <w:r/>
            <w:r>
              <w:rPr>
                <w:b/>
                <w:color w:val="FFFFFF"/>
              </w:rPr>
              <w:t>Your cohort</w:t>
            </w:r>
          </w:p>
        </w:tc>
      </w:tr>
      <w:tr>
        <w:trPr>
          <w:cantSplit w:val="true"/>
          <w:trHeight w:val="907"/>
        </w:trPr>
        <w:tc>
          <w:tcPr>
            <w:tcW w:type="dxa" w:w="2381"/>
          </w:tcPr>
          <w:p>
            <w:pPr>
              <w:spacing w:before="60" w:after="60"/>
            </w:pPr>
            <w:r>
              <w:rPr>
                <w:b/>
              </w:rPr>
              <w:t>Learners</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Format and time</w:t>
            </w:r>
          </w:p>
        </w:tc>
        <w:tc>
          <w:tcPr>
            <w:tcW w:type="dxa" w:w="7257"/>
            <w:shd w:val="clear" w:color="auto" w:fill="F7F0FB"/>
          </w:tcPr>
          <w:p>
            <w:pPr>
              <w:spacing w:before="60" w:after="60"/>
            </w:pPr>
            <w:r/>
          </w:p>
        </w:tc>
      </w:tr>
      <w:tr>
        <w:trPr>
          <w:cantSplit w:val="true"/>
          <w:trHeight w:val="907"/>
        </w:trPr>
        <w:tc>
          <w:tcPr>
            <w:tcW w:type="dxa" w:w="2381"/>
          </w:tcPr>
          <w:p>
            <w:pPr>
              <w:spacing w:before="60" w:after="60"/>
            </w:pPr>
            <w:r>
              <w:rPr>
                <w:b/>
              </w:rPr>
              <w:t>Groups</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Facilitator</w:t>
            </w:r>
          </w:p>
        </w:tc>
        <w:tc>
          <w:tcPr>
            <w:tcW w:type="dxa" w:w="7257"/>
            <w:shd w:val="clear" w:color="auto" w:fill="F7F0FB"/>
          </w:tcPr>
          <w:p>
            <w:pPr>
              <w:spacing w:before="60" w:after="60"/>
            </w:pPr>
            <w:r/>
          </w:p>
        </w:tc>
      </w:tr>
      <w:tr>
        <w:trPr>
          <w:cantSplit w:val="true"/>
          <w:trHeight w:val="907"/>
        </w:trPr>
        <w:tc>
          <w:tcPr>
            <w:tcW w:type="dxa" w:w="2381"/>
          </w:tcPr>
          <w:p>
            <w:pPr>
              <w:spacing w:before="60" w:after="60"/>
            </w:pPr>
            <w:r>
              <w:rPr>
                <w:b/>
              </w:rPr>
              <w:t>Open problem</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Evidence to work from</w:t>
            </w:r>
          </w:p>
        </w:tc>
        <w:tc>
          <w:tcPr>
            <w:tcW w:type="dxa" w:w="7257"/>
            <w:shd w:val="clear" w:color="auto" w:fill="F7F0FB"/>
          </w:tcPr>
          <w:p>
            <w:pPr>
              <w:spacing w:before="60" w:after="60"/>
            </w:pPr>
            <w:r/>
          </w:p>
        </w:tc>
      </w:tr>
      <w:tr>
        <w:trPr>
          <w:cantSplit w:val="true"/>
          <w:trHeight w:val="907"/>
        </w:trPr>
        <w:tc>
          <w:tcPr>
            <w:tcW w:type="dxa" w:w="2381"/>
          </w:tcPr>
          <w:p>
            <w:pPr>
              <w:spacing w:before="60" w:after="60"/>
            </w:pPr>
            <w:r>
              <w:rPr>
                <w:b/>
              </w:rPr>
              <w:t>Resolution task</w:t>
            </w:r>
          </w:p>
        </w:tc>
        <w:tc>
          <w:tcPr>
            <w:tcW w:type="dxa" w:w="7257"/>
          </w:tcPr>
          <w:p>
            <w:pPr>
              <w:spacing w:before="60" w:after="60"/>
            </w:pPr>
            <w:r/>
          </w:p>
        </w:tc>
      </w:tr>
      <w:tr>
        <w:trPr>
          <w:cantSplit w:val="true"/>
          <w:trHeight w:val="907"/>
        </w:trPr>
        <w:tc>
          <w:tcPr>
            <w:tcW w:type="dxa" w:w="2381"/>
            <w:shd w:val="clear" w:color="auto" w:fill="F7F0FB"/>
          </w:tcPr>
          <w:p>
            <w:pPr>
              <w:spacing w:before="60" w:after="60"/>
            </w:pPr>
            <w:r>
              <w:rPr>
                <w:b/>
              </w:rPr>
              <w:t>What you will judge</w:t>
            </w:r>
          </w:p>
        </w:tc>
        <w:tc>
          <w:tcPr>
            <w:tcW w:type="dxa" w:w="7257"/>
            <w:shd w:val="clear" w:color="auto" w:fill="F7F0FB"/>
          </w:tcPr>
          <w:p>
            <w:pPr>
              <w:spacing w:before="60" w:after="60"/>
            </w:pPr>
            <w:r/>
          </w:p>
        </w:tc>
      </w:tr>
    </w:tbl>
    <w:p>
      <w:pPr>
        <w:keepNext/>
        <w:pageBreakBefore/>
        <w:spacing w:before="240" w:after="80"/>
      </w:pPr>
      <w:r>
        <w:rPr>
          <w:b/>
          <w:color w:val="5D008F"/>
          <w:sz w:val="28"/>
        </w:rPr>
        <w:t>Your week-by-week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850"/>
            <w:shd w:val="clear" w:color="auto" w:fill="5D008F"/>
          </w:tcPr>
          <w:p>
            <w:pPr>
              <w:spacing w:before="60" w:after="60"/>
            </w:pPr>
            <w:r/>
            <w:r>
              <w:rPr>
                <w:b/>
                <w:color w:val="FFFFFF"/>
              </w:rPr>
              <w:t>Week</w:t>
            </w:r>
          </w:p>
        </w:tc>
        <w:tc>
          <w:tcPr>
            <w:tcW w:type="dxa" w:w="2494"/>
            <w:shd w:val="clear" w:color="auto" w:fill="5D008F"/>
          </w:tcPr>
          <w:p>
            <w:pPr>
              <w:spacing w:before="60" w:after="60"/>
            </w:pPr>
            <w:r/>
            <w:r>
              <w:rPr>
                <w:b/>
                <w:color w:val="FFFFFF"/>
              </w:rPr>
              <w:t>Cognitive presence</w:t>
            </w:r>
          </w:p>
        </w:tc>
        <w:tc>
          <w:tcPr>
            <w:tcW w:type="dxa" w:w="2041"/>
            <w:shd w:val="clear" w:color="auto" w:fill="5D008F"/>
          </w:tcPr>
          <w:p>
            <w:pPr>
              <w:spacing w:before="60" w:after="60"/>
            </w:pPr>
            <w:r/>
            <w:r>
              <w:rPr>
                <w:b/>
                <w:color w:val="FFFFFF"/>
              </w:rPr>
              <w:t>Social presence</w:t>
            </w:r>
          </w:p>
        </w:tc>
        <w:tc>
          <w:tcPr>
            <w:tcW w:type="dxa" w:w="2268"/>
            <w:shd w:val="clear" w:color="auto" w:fill="5D008F"/>
          </w:tcPr>
          <w:p>
            <w:pPr>
              <w:spacing w:before="60" w:after="60"/>
            </w:pPr>
            <w:r/>
            <w:r>
              <w:rPr>
                <w:b/>
                <w:color w:val="FFFFFF"/>
              </w:rPr>
              <w:t>Teaching presence</w:t>
            </w:r>
          </w:p>
        </w:tc>
        <w:tc>
          <w:tcPr>
            <w:tcW w:type="dxa" w:w="1984"/>
            <w:shd w:val="clear" w:color="auto" w:fill="5D008F"/>
          </w:tcPr>
          <w:p>
            <w:pPr>
              <w:spacing w:before="60" w:after="60"/>
            </w:pPr>
            <w:r/>
            <w:r>
              <w:rPr>
                <w:b/>
                <w:color w:val="FFFFFF"/>
              </w:rPr>
              <w:t>Evidence to look for</w:t>
            </w:r>
          </w:p>
        </w:tc>
      </w:tr>
      <w:tr>
        <w:trPr>
          <w:cantSplit w:val="true"/>
          <w:trHeight w:val="1474"/>
        </w:trPr>
        <w:tc>
          <w:tcPr>
            <w:tcW w:type="dxa" w:w="850"/>
          </w:tcPr>
          <w:p>
            <w:pPr>
              <w:spacing w:before="60" w:after="60"/>
            </w:pPr>
            <w:r>
              <w:rPr>
                <w:b/>
              </w:rPr>
              <w:t>1</w:t>
            </w:r>
          </w:p>
        </w:tc>
        <w:tc>
          <w:tcPr>
            <w:tcW w:type="dxa" w:w="2494"/>
          </w:tcPr>
          <w:p>
            <w:pPr>
              <w:spacing w:before="60" w:after="60"/>
            </w:pPr>
            <w:r/>
          </w:p>
        </w:tc>
        <w:tc>
          <w:tcPr>
            <w:tcW w:type="dxa" w:w="2041"/>
          </w:tcPr>
          <w:p>
            <w:pPr>
              <w:spacing w:before="60" w:after="60"/>
            </w:pPr>
            <w:r/>
          </w:p>
        </w:tc>
        <w:tc>
          <w:tcPr>
            <w:tcW w:type="dxa" w:w="2268"/>
          </w:tcPr>
          <w:p>
            <w:pPr>
              <w:spacing w:before="60" w:after="60"/>
            </w:pPr>
            <w:r/>
          </w:p>
        </w:tc>
        <w:tc>
          <w:tcPr>
            <w:tcW w:type="dxa" w:w="1984"/>
          </w:tcPr>
          <w:p>
            <w:pPr>
              <w:spacing w:before="60" w:after="60"/>
            </w:pPr>
            <w:r/>
          </w:p>
        </w:tc>
      </w:tr>
      <w:tr>
        <w:trPr>
          <w:cantSplit w:val="true"/>
          <w:trHeight w:val="1474"/>
        </w:trPr>
        <w:tc>
          <w:tcPr>
            <w:tcW w:type="dxa" w:w="850"/>
            <w:shd w:val="clear" w:color="auto" w:fill="F7F0FB"/>
          </w:tcPr>
          <w:p>
            <w:pPr>
              <w:spacing w:before="60" w:after="60"/>
            </w:pPr>
            <w:r>
              <w:rPr>
                <w:b/>
              </w:rPr>
              <w:t>2</w:t>
            </w:r>
          </w:p>
        </w:tc>
        <w:tc>
          <w:tcPr>
            <w:tcW w:type="dxa" w:w="2494"/>
            <w:shd w:val="clear" w:color="auto" w:fill="F7F0FB"/>
          </w:tcPr>
          <w:p>
            <w:pPr>
              <w:spacing w:before="60" w:after="60"/>
            </w:pPr>
            <w:r/>
          </w:p>
        </w:tc>
        <w:tc>
          <w:tcPr>
            <w:tcW w:type="dxa" w:w="2041"/>
            <w:shd w:val="clear" w:color="auto" w:fill="F7F0FB"/>
          </w:tcPr>
          <w:p>
            <w:pPr>
              <w:spacing w:before="60" w:after="60"/>
            </w:pPr>
            <w:r/>
          </w:p>
        </w:tc>
        <w:tc>
          <w:tcPr>
            <w:tcW w:type="dxa" w:w="2268"/>
            <w:shd w:val="clear" w:color="auto" w:fill="F7F0FB"/>
          </w:tcPr>
          <w:p>
            <w:pPr>
              <w:spacing w:before="60" w:after="60"/>
            </w:pPr>
            <w:r/>
          </w:p>
        </w:tc>
        <w:tc>
          <w:tcPr>
            <w:tcW w:type="dxa" w:w="1984"/>
            <w:shd w:val="clear" w:color="auto" w:fill="F7F0FB"/>
          </w:tcPr>
          <w:p>
            <w:pPr>
              <w:spacing w:before="60" w:after="60"/>
            </w:pPr>
            <w:r/>
          </w:p>
        </w:tc>
      </w:tr>
      <w:tr>
        <w:trPr>
          <w:cantSplit w:val="true"/>
          <w:trHeight w:val="1474"/>
        </w:trPr>
        <w:tc>
          <w:tcPr>
            <w:tcW w:type="dxa" w:w="850"/>
          </w:tcPr>
          <w:p>
            <w:pPr>
              <w:spacing w:before="60" w:after="60"/>
            </w:pPr>
            <w:r>
              <w:rPr>
                <w:b/>
              </w:rPr>
              <w:t>3</w:t>
            </w:r>
          </w:p>
        </w:tc>
        <w:tc>
          <w:tcPr>
            <w:tcW w:type="dxa" w:w="2494"/>
          </w:tcPr>
          <w:p>
            <w:pPr>
              <w:spacing w:before="60" w:after="60"/>
            </w:pPr>
            <w:r/>
          </w:p>
        </w:tc>
        <w:tc>
          <w:tcPr>
            <w:tcW w:type="dxa" w:w="2041"/>
          </w:tcPr>
          <w:p>
            <w:pPr>
              <w:spacing w:before="60" w:after="60"/>
            </w:pPr>
            <w:r/>
          </w:p>
        </w:tc>
        <w:tc>
          <w:tcPr>
            <w:tcW w:type="dxa" w:w="2268"/>
          </w:tcPr>
          <w:p>
            <w:pPr>
              <w:spacing w:before="60" w:after="60"/>
            </w:pPr>
            <w:r/>
          </w:p>
        </w:tc>
        <w:tc>
          <w:tcPr>
            <w:tcW w:type="dxa" w:w="1984"/>
          </w:tcPr>
          <w:p>
            <w:pPr>
              <w:spacing w:before="60" w:after="60"/>
            </w:pPr>
            <w:r/>
          </w:p>
        </w:tc>
      </w:tr>
      <w:tr>
        <w:trPr>
          <w:cantSplit w:val="true"/>
          <w:trHeight w:val="1474"/>
        </w:trPr>
        <w:tc>
          <w:tcPr>
            <w:tcW w:type="dxa" w:w="850"/>
            <w:shd w:val="clear" w:color="auto" w:fill="F7F0FB"/>
          </w:tcPr>
          <w:p>
            <w:pPr>
              <w:spacing w:before="60" w:after="60"/>
            </w:pPr>
            <w:r>
              <w:rPr>
                <w:b/>
              </w:rPr>
              <w:t>4</w:t>
            </w:r>
          </w:p>
        </w:tc>
        <w:tc>
          <w:tcPr>
            <w:tcW w:type="dxa" w:w="2494"/>
            <w:shd w:val="clear" w:color="auto" w:fill="F7F0FB"/>
          </w:tcPr>
          <w:p>
            <w:pPr>
              <w:spacing w:before="60" w:after="60"/>
            </w:pPr>
            <w:r/>
          </w:p>
        </w:tc>
        <w:tc>
          <w:tcPr>
            <w:tcW w:type="dxa" w:w="2041"/>
            <w:shd w:val="clear" w:color="auto" w:fill="F7F0FB"/>
          </w:tcPr>
          <w:p>
            <w:pPr>
              <w:spacing w:before="60" w:after="60"/>
            </w:pPr>
            <w:r/>
          </w:p>
        </w:tc>
        <w:tc>
          <w:tcPr>
            <w:tcW w:type="dxa" w:w="2268"/>
            <w:shd w:val="clear" w:color="auto" w:fill="F7F0FB"/>
          </w:tcPr>
          <w:p>
            <w:pPr>
              <w:spacing w:before="60" w:after="60"/>
            </w:pPr>
            <w:r/>
          </w:p>
        </w:tc>
        <w:tc>
          <w:tcPr>
            <w:tcW w:type="dxa" w:w="1984"/>
            <w:shd w:val="clear" w:color="auto" w:fill="F7F0FB"/>
          </w:tcPr>
          <w:p>
            <w:pPr>
              <w:spacing w:before="60" w:after="60"/>
            </w:pPr>
            <w:r/>
          </w:p>
        </w:tc>
      </w:tr>
      <w:tr>
        <w:trPr>
          <w:cantSplit w:val="true"/>
          <w:trHeight w:val="1474"/>
        </w:trPr>
        <w:tc>
          <w:tcPr>
            <w:tcW w:type="dxa" w:w="850"/>
          </w:tcPr>
          <w:p>
            <w:pPr>
              <w:spacing w:before="60" w:after="60"/>
            </w:pPr>
            <w:r>
              <w:rPr>
                <w:b/>
              </w:rPr>
              <w:t>5</w:t>
            </w:r>
          </w:p>
        </w:tc>
        <w:tc>
          <w:tcPr>
            <w:tcW w:type="dxa" w:w="2494"/>
          </w:tcPr>
          <w:p>
            <w:pPr>
              <w:spacing w:before="60" w:after="60"/>
            </w:pPr>
            <w:r/>
          </w:p>
        </w:tc>
        <w:tc>
          <w:tcPr>
            <w:tcW w:type="dxa" w:w="2041"/>
          </w:tcPr>
          <w:p>
            <w:pPr>
              <w:spacing w:before="60" w:after="60"/>
            </w:pPr>
            <w:r/>
          </w:p>
        </w:tc>
        <w:tc>
          <w:tcPr>
            <w:tcW w:type="dxa" w:w="2268"/>
          </w:tcPr>
          <w:p>
            <w:pPr>
              <w:spacing w:before="60" w:after="60"/>
            </w:pPr>
            <w:r/>
          </w:p>
        </w:tc>
        <w:tc>
          <w:tcPr>
            <w:tcW w:type="dxa" w:w="1984"/>
          </w:tcPr>
          <w:p>
            <w:pPr>
              <w:spacing w:before="60" w:after="60"/>
            </w:pPr>
            <w:r/>
          </w:p>
        </w:tc>
      </w:tr>
      <w:tr>
        <w:trPr>
          <w:cantSplit w:val="true"/>
          <w:trHeight w:val="1474"/>
        </w:trPr>
        <w:tc>
          <w:tcPr>
            <w:tcW w:type="dxa" w:w="850"/>
            <w:shd w:val="clear" w:color="auto" w:fill="F7F0FB"/>
          </w:tcPr>
          <w:p>
            <w:pPr>
              <w:spacing w:before="60" w:after="60"/>
            </w:pPr>
            <w:r>
              <w:rPr>
                <w:b/>
              </w:rPr>
              <w:t>6</w:t>
            </w:r>
          </w:p>
        </w:tc>
        <w:tc>
          <w:tcPr>
            <w:tcW w:type="dxa" w:w="2494"/>
            <w:shd w:val="clear" w:color="auto" w:fill="F7F0FB"/>
          </w:tcPr>
          <w:p>
            <w:pPr>
              <w:spacing w:before="60" w:after="60"/>
            </w:pPr>
            <w:r/>
          </w:p>
        </w:tc>
        <w:tc>
          <w:tcPr>
            <w:tcW w:type="dxa" w:w="2041"/>
            <w:shd w:val="clear" w:color="auto" w:fill="F7F0FB"/>
          </w:tcPr>
          <w:p>
            <w:pPr>
              <w:spacing w:before="60" w:after="60"/>
            </w:pPr>
            <w:r/>
          </w:p>
        </w:tc>
        <w:tc>
          <w:tcPr>
            <w:tcW w:type="dxa" w:w="2268"/>
            <w:shd w:val="clear" w:color="auto" w:fill="F7F0FB"/>
          </w:tcPr>
          <w:p>
            <w:pPr>
              <w:spacing w:before="60" w:after="60"/>
            </w:pPr>
            <w:r/>
          </w:p>
        </w:tc>
        <w:tc>
          <w:tcPr>
            <w:tcW w:type="dxa" w:w="1984"/>
            <w:shd w:val="clear" w:color="auto" w:fill="F7F0FB"/>
          </w:tcPr>
          <w:p>
            <w:pPr>
              <w:spacing w:before="60" w:after="60"/>
            </w:pPr>
            <w:r/>
          </w:p>
        </w:tc>
      </w:tr>
    </w:tbl>
    <w:p>
      <w:pPr>
        <w:spacing w:before="160"/>
      </w:pPr>
      <w:r>
        <w:rPr>
          <w:i/>
          <w:color w:val="5A5766"/>
        </w:rPr>
        <w:t>Fill in every column for every week. A blank cell is a week where the cohort is likely to stall.</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