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after="80"/>
      </w:pPr>
      <w:r>
        <w:rPr>
          <w:b/>
          <w:color w:val="5D008F"/>
          <w:sz w:val="40"/>
        </w:rPr>
        <w:t>Adaptive Course Design Planner</w:t>
      </w:r>
    </w:p>
    <w:p>
      <w:pPr>
        <w:pageBreakBefore w:val="0"/>
      </w:pPr>
      <w:r>
        <w:t>SOP GDP-001 and its rules are fictional. Use the actual approved procedure at work. Two-item routes and the four-item final check are illustrative, not validated mastery thresholds. Review coverage and test every route, including all-pass, partial-pass, fail, repeat and human referral.</w:t>
      </w:r>
    </w:p>
    <w:p>
      <w:pPr>
        <w:pageBreakBefore w:val="0"/>
      </w:pPr>
      <w:r>
        <w:rPr>
          <w:color w:val="5A5766"/>
          <w:sz w:val="22"/>
        </w:rPr>
        <w:t>Plan a rule-based (designed) adaptive course one objective at a time. It draws on mastery learning (Bloom, 1968) and the designed adaptivity described by Fontaine and colleagues (BMJ Open, 2019). It is a Coursebox planning sheet, not a validated instrument, and it gives no score. A hypothetical good documentation practice (GDP) refresher is filled in as an example.</w:t>
      </w:r>
    </w:p>
    <w:p>
      <w:pPr>
        <w:pageBreakBefore w:val="0"/>
      </w:pPr>
      <w:r>
        <w:rPr>
          <w:i/>
          <w:color w:val="5A5766"/>
          <w:sz w:val="18"/>
        </w:rPr>
        <w:t>From the Coursebox blog: coursebox.ai/blog/adaptive-learning-design</w:t>
      </w:r>
    </w:p>
    <w:p>
      <w:pPr>
        <w:keepNext/>
        <w:pageBreakBefore w:val="0"/>
        <w:spacing w:before="240" w:after="80"/>
      </w:pPr>
      <w:r>
        <w:rPr>
          <w:b/>
          <w:color w:val="5D008F"/>
          <w:sz w:val="28"/>
        </w:rPr>
        <w:t>How to use this planner</w:t>
      </w:r>
    </w:p>
    <w:p>
      <w:pPr>
        <w:pStyle w:val="ListBullet"/>
        <w:keepNext/>
        <w:pageBreakBefore w:val="0"/>
      </w:pPr>
      <w:r>
        <w:t>Pick one course that people with very different experience all have to complete, such as an annual refresher.</w:t>
      </w:r>
    </w:p>
    <w:p>
      <w:pPr>
        <w:pStyle w:val="ListBullet"/>
        <w:keepNext/>
        <w:pageBreakBefore w:val="0"/>
      </w:pPr>
      <w:r>
        <w:t>Part 1: decide what adapts, what evidence drives it and who applies each route. Part 2: one block per objective, with enough relevant evidence to cover each objective; two items are an illustrative starting choice. Part 3: the final check everyone sits and the record.</w:t>
      </w:r>
    </w:p>
    <w:p>
      <w:pPr>
        <w:pStyle w:val="ListBullet"/>
        <w:keepNext/>
        <w:pageBreakBefore w:val="0"/>
      </w:pPr>
      <w:r>
        <w:t>Before you build, try the questions on a few experienced people and a few new starters. If everyone or nobody passes, investigate item difficulty, actual learner knowledge and coverage before changing the items.</w:t>
      </w:r>
    </w:p>
    <w:p>
      <w:pPr>
        <w:keepNext/>
        <w:pageBreakBefore w:val="0"/>
        <w:spacing w:before="240" w:after="80"/>
      </w:pPr>
      <w:r>
        <w:rPr>
          <w:b/>
          <w:color w:val="5D008F"/>
          <w:sz w:val="28"/>
        </w:rPr>
        <w:t>Part 1. Decide what adapts: worked example</w:t>
      </w:r>
    </w:p>
    <w:p>
      <w:pPr>
        <w:keepNext/>
        <w:pageBreakBefore w:val="0"/>
      </w:pPr>
      <w:r>
        <w:t>Hypothetical example. An Australian contract manufacturer makes tablets and capsules at one site. Last year everyone took the same 60-minute GDP refresher with a 10-question quiz at the end; experienced staff clicked through in 15 minutes and passed, new starters passed too, and the deviation log showed the same four documentation errors the following year. The course uses only SOP GDP-001 Good Documentation Practice.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118"/>
            <w:shd w:val="clear" w:color="auto" w:fill="5D008F"/>
          </w:tcPr>
          <w:p>
            <w:pPr>
              <w:keepNext/>
              <w:spacing w:before="60" w:after="60"/>
            </w:pPr>
            <w:r>
              <w:rPr>
                <w:b/>
                <w:color w:val="FFFFFF"/>
              </w:rPr>
            </w:r>
            <w:r>
              <w:rPr>
                <w:b/>
                <w:color w:val="FFFFFF"/>
              </w:rPr>
              <w:t>Decision</w:t>
            </w:r>
          </w:p>
        </w:tc>
        <w:tc>
          <w:tcPr>
            <w:tcW w:type="dxa" w:w="6520"/>
            <w:shd w:val="clear" w:color="auto" w:fill="5D008F"/>
          </w:tcPr>
          <w:p>
            <w:pPr>
              <w:keepNext/>
              <w:spacing w:before="60" w:after="60"/>
            </w:pPr>
            <w:r>
              <w:rPr>
                <w:b/>
                <w:color w:val="FFFFFF"/>
              </w:rPr>
            </w:r>
            <w:r>
              <w:rPr>
                <w:b/>
                <w:color w:val="FFFFFF"/>
              </w:rPr>
              <w:t>GDP refresher</w:t>
            </w:r>
          </w:p>
        </w:tc>
      </w:tr>
      <w:tr>
        <w:trPr>
          <w:cantSplit w:val="true"/>
        </w:trPr>
        <w:tc>
          <w:tcPr>
            <w:tcW w:type="dxa" w:w="3118"/>
          </w:tcPr>
          <w:p>
            <w:pPr>
              <w:keepNext/>
              <w:spacing w:before="60" w:after="60"/>
            </w:pPr>
            <w:r>
              <w:rPr>
                <w:b/>
              </w:rPr>
              <w:t>Who are the learners, and how do they differ?</w:t>
            </w:r>
          </w:p>
        </w:tc>
        <w:tc>
          <w:tcPr>
            <w:tcW w:type="dxa" w:w="6520"/>
          </w:tcPr>
          <w:p>
            <w:pPr>
              <w:keepNext/>
              <w:spacing w:before="60" w:after="60"/>
            </w:pPr>
            <w:r>
              <w:t>About 180 operators and QC analysts, 3 months to 25 years' experience. Years of service do not show who documents correctly; individual work samples and relevant entry checks provide better evidence than years of service.</w:t>
            </w:r>
          </w:p>
        </w:tc>
      </w:tr>
      <w:tr>
        <w:trPr>
          <w:cantSplit w:val="true"/>
        </w:trPr>
        <w:tc>
          <w:tcPr>
            <w:tcW w:type="dxa" w:w="3118"/>
            <w:shd w:val="clear" w:color="auto" w:fill="F7F0FB"/>
          </w:tcPr>
          <w:p>
            <w:pPr>
              <w:keepNext/>
              <w:spacing w:before="60" w:after="60"/>
            </w:pPr>
            <w:r>
              <w:rPr>
                <w:b/>
              </w:rPr>
              <w:t>What will adapt?</w:t>
            </w:r>
          </w:p>
        </w:tc>
        <w:tc>
          <w:tcPr>
            <w:tcW w:type="dxa" w:w="6520"/>
            <w:shd w:val="clear" w:color="auto" w:fill="F7F0FB"/>
          </w:tcPr>
          <w:p>
            <w:pPr>
              <w:keepNext/>
              <w:spacing w:before="60" w:after="60"/>
            </w:pPr>
            <w:r>
              <w:t>Sequence (which objective modules each person takes) and content by role (one role module each).</w:t>
            </w:r>
          </w:p>
        </w:tc>
      </w:tr>
      <w:tr>
        <w:trPr>
          <w:cantSplit w:val="true"/>
        </w:trPr>
        <w:tc>
          <w:tcPr>
            <w:tcW w:type="dxa" w:w="3118"/>
          </w:tcPr>
          <w:p>
            <w:pPr>
              <w:keepNext/>
              <w:spacing w:before="60" w:after="60"/>
            </w:pPr>
            <w:r>
              <w:rPr>
                <w:b/>
              </w:rPr>
              <w:t>What evidence drives it?</w:t>
            </w:r>
          </w:p>
        </w:tc>
        <w:tc>
          <w:tcPr>
            <w:tcW w:type="dxa" w:w="6520"/>
          </w:tcPr>
          <w:p>
            <w:pPr>
              <w:keepNext/>
              <w:spacing w:before="60" w:after="60"/>
            </w:pPr>
            <w:r>
              <w:t>Scores on an 8-item scenario pre-check, 2 items per objective, for the objective modules. Job role for the role modules.</w:t>
            </w:r>
          </w:p>
        </w:tc>
      </w:tr>
      <w:tr>
        <w:trPr>
          <w:cantSplit w:val="true"/>
        </w:trPr>
        <w:tc>
          <w:tcPr>
            <w:tcW w:type="dxa" w:w="3118"/>
            <w:shd w:val="clear" w:color="auto" w:fill="F7F0FB"/>
          </w:tcPr>
          <w:p>
            <w:pPr>
              <w:keepNext/>
              <w:spacing w:before="60" w:after="60"/>
            </w:pPr>
            <w:r>
              <w:rPr>
                <w:b/>
              </w:rPr>
              <w:t>Who applies each route?</w:t>
            </w:r>
          </w:p>
        </w:tc>
        <w:tc>
          <w:tcPr>
            <w:tcW w:type="dxa" w:w="6520"/>
            <w:shd w:val="clear" w:color="auto" w:fill="F7F0FB"/>
          </w:tcPr>
          <w:p>
            <w:pPr>
              <w:keepNext/>
              <w:spacing w:before="60" w:after="60"/>
            </w:pPr>
            <w:r>
              <w:t>Objective modules: the learner, acting on a results page that explains their pre-check objective by objective (or an administrator who enrols people by result). Role modules: an administrator, by enrolment.</w:t>
            </w:r>
          </w:p>
        </w:tc>
      </w:tr>
      <w:tr>
        <w:trPr>
          <w:cantSplit w:val="true"/>
        </w:trPr>
        <w:tc>
          <w:tcPr>
            <w:tcW w:type="dxa" w:w="3118"/>
          </w:tcPr>
          <w:p>
            <w:pPr>
              <w:keepNext/>
              <w:spacing w:before="60" w:after="60"/>
            </w:pPr>
            <w:r>
              <w:rPr>
                <w:b/>
              </w:rPr>
              <w:t>What must the record show?</w:t>
            </w:r>
          </w:p>
        </w:tc>
        <w:tc>
          <w:tcPr>
            <w:tcW w:type="dxa" w:w="6520"/>
          </w:tcPr>
          <w:p>
            <w:pPr>
              <w:keepNext/>
              <w:spacing w:before="60" w:after="60"/>
            </w:pPr>
            <w:r>
              <w:t>Per person: objectives tested out of, modules completed, final check result and any coaching referral.</w:t>
            </w:r>
          </w:p>
        </w:tc>
      </w:tr>
      <w:tr>
        <w:trPr>
          <w:cantSplit w:val="true"/>
        </w:trPr>
        <w:tc>
          <w:tcPr>
            <w:tcW w:type="dxa" w:w="3118"/>
            <w:shd w:val="clear" w:color="auto" w:fill="F7F0FB"/>
          </w:tcPr>
          <w:p>
            <w:pPr>
              <w:keepNext/>
              <w:spacing w:before="60" w:after="60"/>
            </w:pPr>
            <w:r>
              <w:rPr>
                <w:b/>
              </w:rPr>
              <w:t>What is the intended outcome?</w:t>
            </w:r>
          </w:p>
        </w:tc>
        <w:tc>
          <w:tcPr>
            <w:tcW w:type="dxa" w:w="6520"/>
            <w:shd w:val="clear" w:color="auto" w:fill="F7F0FB"/>
          </w:tcPr>
          <w:p>
            <w:pPr>
              <w:keepNext w:val="0"/>
              <w:spacing w:before="60" w:after="60"/>
            </w:pPr>
            <w:r>
              <w:t>Each person spends time only on objectives they cannot yet show, and the site can show an auditor who was checked on what. Fewer errors in sampled work records for behaviour, and volume-adjusted deviation rates as separate organisational results is the real test, and the course alone cannot prove it.</w:t>
            </w:r>
          </w:p>
        </w:tc>
      </w:tr>
    </w:tbl>
    <w:p>
      <w:pPr>
        <w:keepNext/>
        <w:pageBreakBefore/>
        <w:spacing w:before="240" w:after="80"/>
      </w:pPr>
      <w:r>
        <w:rPr>
          <w:b/>
          <w:color w:val="5D008F"/>
          <w:sz w:val="28"/>
        </w:rPr>
        <w:t>Part 2. Objective planner: worked example</w:t>
      </w:r>
    </w:p>
    <w:p>
      <w:pPr>
        <w:keepNext/>
        <w:pageBreakBefore w:val="0"/>
      </w:pPr>
      <w:r>
        <w:t>Objective 1. Record at the time of the activity.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keepNext/>
              <w:spacing w:before="60" w:after="60"/>
            </w:pPr>
            <w:r>
              <w:rPr>
                <w:b/>
                <w:color w:val="FFFFFF"/>
              </w:rPr>
            </w:r>
            <w:r>
              <w:rPr>
                <w:b/>
                <w:color w:val="FFFFFF"/>
              </w:rPr>
              <w:t>Design decision</w:t>
            </w:r>
          </w:p>
        </w:tc>
        <w:tc>
          <w:tcPr>
            <w:tcW w:type="dxa" w:w="7087"/>
            <w:shd w:val="clear" w:color="auto" w:fill="5D008F"/>
          </w:tcPr>
          <w:p>
            <w:pPr>
              <w:keepNext/>
              <w:spacing w:before="60" w:after="60"/>
            </w:pPr>
            <w:r>
              <w:rPr>
                <w:b/>
                <w:color w:val="FFFFFF"/>
              </w:rPr>
            </w:r>
            <w:r>
              <w:rPr>
                <w:b/>
                <w:color w:val="FFFFFF"/>
              </w:rPr>
              <w:t>GDP refresher</w:t>
            </w:r>
          </w:p>
        </w:tc>
      </w:tr>
      <w:tr>
        <w:trPr>
          <w:cantSplit w:val="true"/>
        </w:trPr>
        <w:tc>
          <w:tcPr>
            <w:tcW w:type="dxa" w:w="2551"/>
          </w:tcPr>
          <w:p>
            <w:pPr>
              <w:keepNext/>
              <w:spacing w:before="60" w:after="60"/>
            </w:pPr>
            <w:r>
              <w:rPr>
                <w:b/>
              </w:rPr>
              <w:t>Pre-check items</w:t>
            </w:r>
          </w:p>
        </w:tc>
        <w:tc>
          <w:tcPr>
            <w:tcW w:type="dxa" w:w="7087"/>
          </w:tcPr>
          <w:p>
            <w:pPr>
              <w:keepNext/>
              <w:spacing w:before="60" w:after="60"/>
            </w:pPr>
            <w:r>
              <w:t>Two scenario items. Example: an operator weighs the binder at 10:05 and writes it in the batch record at 11:30, after the break, as 10:05. Correct answer: not acceptable; record at the time, or make a late entry with the actual entry date and time, the reason and the supervisor countersignature required by this fictional SOP.</w:t>
            </w:r>
          </w:p>
        </w:tc>
      </w:tr>
      <w:tr>
        <w:trPr>
          <w:cantSplit w:val="true"/>
        </w:trPr>
        <w:tc>
          <w:tcPr>
            <w:tcW w:type="dxa" w:w="2551"/>
            <w:shd w:val="clear" w:color="auto" w:fill="F7F0FB"/>
          </w:tcPr>
          <w:p>
            <w:pPr>
              <w:keepNext/>
              <w:spacing w:before="60" w:after="60"/>
            </w:pPr>
            <w:r>
              <w:rPr>
                <w:b/>
              </w:rPr>
              <w:t>Test-out rule</w:t>
            </w:r>
          </w:p>
        </w:tc>
        <w:tc>
          <w:tcPr>
            <w:tcW w:type="dxa" w:w="7087"/>
            <w:shd w:val="clear" w:color="auto" w:fill="F7F0FB"/>
          </w:tcPr>
          <w:p>
            <w:pPr>
              <w:keepNext/>
              <w:spacing w:before="60" w:after="60"/>
            </w:pPr>
            <w:r>
              <w:t>Both items right: skip Module 1, recorded as tested out. One or none right: take Module 1.</w:t>
            </w:r>
          </w:p>
        </w:tc>
      </w:tr>
      <w:tr>
        <w:trPr>
          <w:cantSplit w:val="true"/>
        </w:trPr>
        <w:tc>
          <w:tcPr>
            <w:tcW w:type="dxa" w:w="2551"/>
          </w:tcPr>
          <w:p>
            <w:pPr>
              <w:keepNext/>
              <w:spacing w:before="60" w:after="60"/>
            </w:pPr>
            <w:r>
              <w:rPr>
                <w:b/>
              </w:rPr>
              <w:t>Module</w:t>
            </w:r>
          </w:p>
        </w:tc>
        <w:tc>
          <w:tcPr>
            <w:tcW w:type="dxa" w:w="7087"/>
          </w:tcPr>
          <w:p>
            <w:pPr>
              <w:keepNext/>
              <w:spacing w:before="60" w:after="60"/>
            </w:pPr>
            <w:r>
              <w:t>Module 1, about 8 minutes.</w:t>
            </w:r>
          </w:p>
        </w:tc>
      </w:tr>
      <w:tr>
        <w:trPr>
          <w:cantSplit w:val="true"/>
        </w:trPr>
        <w:tc>
          <w:tcPr>
            <w:tcW w:type="dxa" w:w="2551"/>
            <w:shd w:val="clear" w:color="auto" w:fill="F7F0FB"/>
          </w:tcPr>
          <w:p>
            <w:pPr>
              <w:keepNext/>
              <w:spacing w:before="60" w:after="60"/>
            </w:pPr>
            <w:r>
              <w:rPr>
                <w:b/>
              </w:rPr>
              <w:t>Mastery check</w:t>
            </w:r>
          </w:p>
        </w:tc>
        <w:tc>
          <w:tcPr>
            <w:tcW w:type="dxa" w:w="7087"/>
            <w:shd w:val="clear" w:color="auto" w:fill="F7F0FB"/>
          </w:tcPr>
          <w:p>
            <w:pPr>
              <w:keepNext/>
              <w:spacing w:before="60" w:after="60"/>
            </w:pPr>
            <w:r>
              <w:t>Two new items at the end of the module. Both right: move on.</w:t>
            </w:r>
          </w:p>
        </w:tc>
      </w:tr>
      <w:tr>
        <w:trPr>
          <w:cantSplit w:val="true"/>
        </w:trPr>
        <w:tc>
          <w:tcPr>
            <w:tcW w:type="dxa" w:w="2551"/>
          </w:tcPr>
          <w:p>
            <w:pPr>
              <w:keepNext/>
              <w:spacing w:before="60" w:after="60"/>
            </w:pPr>
            <w:r>
              <w:rPr>
                <w:b/>
              </w:rPr>
              <w:t>Remediation</w:t>
            </w:r>
          </w:p>
        </w:tc>
        <w:tc>
          <w:tcPr>
            <w:tcW w:type="dxa" w:w="7087"/>
          </w:tcPr>
          <w:p>
            <w:pPr>
              <w:keepNext/>
              <w:spacing w:before="60" w:after="60"/>
            </w:pPr>
            <w:r>
              <w:t>A worked example of a delayed entry with SOP clause 1, then two more new items.</w:t>
            </w:r>
          </w:p>
        </w:tc>
      </w:tr>
      <w:tr>
        <w:trPr>
          <w:cantSplit w:val="true"/>
        </w:trPr>
        <w:tc>
          <w:tcPr>
            <w:tcW w:type="dxa" w:w="2551"/>
            <w:shd w:val="clear" w:color="auto" w:fill="F7F0FB"/>
          </w:tcPr>
          <w:p>
            <w:pPr>
              <w:keepNext/>
              <w:spacing w:before="60" w:after="60"/>
            </w:pPr>
            <w:r>
              <w:rPr>
                <w:b/>
              </w:rPr>
              <w:t>Person steps in</w:t>
            </w:r>
          </w:p>
        </w:tc>
        <w:tc>
          <w:tcPr>
            <w:tcW w:type="dxa" w:w="7087"/>
            <w:shd w:val="clear" w:color="auto" w:fill="F7F0FB"/>
          </w:tcPr>
          <w:p>
            <w:pPr>
              <w:keepNext/>
              <w:spacing w:before="60" w:after="60"/>
            </w:pPr>
            <w:r>
              <w:t>Fail again: a 15-minute coached session with the QA trainer, outside the course.</w:t>
            </w:r>
          </w:p>
        </w:tc>
      </w:tr>
      <w:tr>
        <w:trPr>
          <w:cantSplit w:val="true"/>
        </w:trPr>
        <w:tc>
          <w:tcPr>
            <w:tcW w:type="dxa" w:w="2551"/>
          </w:tcPr>
          <w:p>
            <w:pPr>
              <w:keepNext/>
              <w:spacing w:before="60" w:after="60"/>
            </w:pPr>
            <w:r>
              <w:rPr>
                <w:b/>
              </w:rPr>
              <w:t>Recorded</w:t>
            </w:r>
          </w:p>
        </w:tc>
        <w:tc>
          <w:tcPr>
            <w:tcW w:type="dxa" w:w="7087"/>
          </w:tcPr>
          <w:p>
            <w:pPr>
              <w:keepNext w:val="0"/>
              <w:spacing w:before="60" w:after="60"/>
            </w:pPr>
            <w:r>
              <w:t>Tested out, or module completed; any coaching referral.</w:t>
            </w:r>
          </w:p>
        </w:tc>
      </w:tr>
    </w:tbl>
    <w:p>
      <w:pPr>
        <w:keepNext/>
        <w:pageBreakBefore/>
        <w:spacing w:before="240" w:after="80"/>
      </w:pPr>
      <w:r>
        <w:rPr>
          <w:b/>
          <w:color w:val="5D008F"/>
          <w:sz w:val="28"/>
        </w:rPr>
        <w:t>Objectives 2 to 4: worked example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814"/>
            <w:shd w:val="clear" w:color="auto" w:fill="5D008F"/>
          </w:tcPr>
          <w:p>
            <w:pPr>
              <w:keepNext/>
              <w:spacing w:before="60" w:after="60"/>
            </w:pPr>
            <w:r>
              <w:rPr>
                <w:b/>
                <w:color w:val="FFFFFF"/>
              </w:rPr>
            </w:r>
            <w:r>
              <w:rPr>
                <w:b/>
                <w:color w:val="FFFFFF"/>
              </w:rPr>
              <w:t>Design decision</w:t>
            </w:r>
          </w:p>
        </w:tc>
        <w:tc>
          <w:tcPr>
            <w:tcW w:type="dxa" w:w="2608"/>
            <w:shd w:val="clear" w:color="auto" w:fill="5D008F"/>
          </w:tcPr>
          <w:p>
            <w:pPr>
              <w:keepNext/>
              <w:spacing w:before="60" w:after="60"/>
            </w:pPr>
            <w:r>
              <w:rPr>
                <w:b/>
                <w:color w:val="FFFFFF"/>
              </w:rPr>
            </w:r>
            <w:r>
              <w:rPr>
                <w:b/>
                <w:color w:val="FFFFFF"/>
              </w:rPr>
              <w:t>2. Correct an error</w:t>
            </w:r>
          </w:p>
        </w:tc>
        <w:tc>
          <w:tcPr>
            <w:tcW w:type="dxa" w:w="2608"/>
            <w:shd w:val="clear" w:color="auto" w:fill="5D008F"/>
          </w:tcPr>
          <w:p>
            <w:pPr>
              <w:keepNext/>
              <w:spacing w:before="60" w:after="60"/>
            </w:pPr>
            <w:r>
              <w:rPr>
                <w:b/>
                <w:color w:val="FFFFFF"/>
              </w:rPr>
            </w:r>
            <w:r>
              <w:rPr>
                <w:b/>
                <w:color w:val="FFFFFF"/>
              </w:rPr>
              <w:t>3. Late entry</w:t>
            </w:r>
          </w:p>
        </w:tc>
        <w:tc>
          <w:tcPr>
            <w:tcW w:type="dxa" w:w="2608"/>
            <w:shd w:val="clear" w:color="auto" w:fill="5D008F"/>
          </w:tcPr>
          <w:p>
            <w:pPr>
              <w:keepNext/>
              <w:spacing w:before="60" w:after="60"/>
            </w:pPr>
            <w:r>
              <w:rPr>
                <w:b/>
                <w:color w:val="FFFFFF"/>
              </w:rPr>
            </w:r>
            <w:r>
              <w:rPr>
                <w:b/>
                <w:color w:val="FFFFFF"/>
              </w:rPr>
              <w:t>4. Data integrity concern</w:t>
            </w:r>
          </w:p>
        </w:tc>
      </w:tr>
      <w:tr>
        <w:trPr>
          <w:cantSplit w:val="true"/>
        </w:trPr>
        <w:tc>
          <w:tcPr>
            <w:tcW w:type="dxa" w:w="1814"/>
          </w:tcPr>
          <w:p>
            <w:pPr>
              <w:keepNext/>
              <w:spacing w:before="60" w:after="60"/>
            </w:pPr>
            <w:r>
              <w:rPr>
                <w:b/>
              </w:rPr>
              <w:t>Example pre-check item</w:t>
            </w:r>
          </w:p>
        </w:tc>
        <w:tc>
          <w:tcPr>
            <w:tcW w:type="dxa" w:w="2608"/>
          </w:tcPr>
          <w:p>
            <w:pPr>
              <w:keepNext/>
              <w:spacing w:before="60" w:after="60"/>
            </w:pPr>
            <w:r>
              <w:t>25.4 kg was written as 24.5 kg. Correct: a single line through 24.5 so it stays readable, then 25.4, initials, date and the reason "transcription error".</w:t>
            </w:r>
          </w:p>
        </w:tc>
        <w:tc>
          <w:tcPr>
            <w:tcW w:type="dxa" w:w="2608"/>
          </w:tcPr>
          <w:p>
            <w:pPr>
              <w:keepNext/>
              <w:spacing w:before="60" w:after="60"/>
            </w:pPr>
            <w:r>
              <w:t>You performed yesterday’s line clearance check but did not sign it; the work can be verified. Correct: record the actual entry date and time today as a late entry with the reason and a supervisor's countersignature; never date it yesterday.</w:t>
            </w:r>
          </w:p>
        </w:tc>
        <w:tc>
          <w:tcPr>
            <w:tcW w:type="dxa" w:w="2608"/>
          </w:tcPr>
          <w:p>
            <w:pPr>
              <w:keepNext/>
              <w:spacing w:before="60" w:after="60"/>
            </w:pPr>
            <w:r>
              <w:t>A colleague asks you to sign as second checker for a weighing you did not see. Correct: refuse, and tell your supervisor or QA the same day.</w:t>
            </w:r>
          </w:p>
        </w:tc>
      </w:tr>
      <w:tr>
        <w:trPr>
          <w:cantSplit w:val="true"/>
        </w:trPr>
        <w:tc>
          <w:tcPr>
            <w:tcW w:type="dxa" w:w="1814"/>
            <w:shd w:val="clear" w:color="auto" w:fill="F7F0FB"/>
          </w:tcPr>
          <w:p>
            <w:pPr>
              <w:keepNext/>
              <w:spacing w:before="60" w:after="60"/>
            </w:pPr>
            <w:r>
              <w:rPr>
                <w:b/>
              </w:rPr>
              <w:t>Test-out rule</w:t>
            </w:r>
          </w:p>
        </w:tc>
        <w:tc>
          <w:tcPr>
            <w:tcW w:type="dxa" w:w="2608"/>
            <w:shd w:val="clear" w:color="auto" w:fill="F7F0FB"/>
          </w:tcPr>
          <w:p>
            <w:pPr>
              <w:keepNext/>
              <w:spacing w:before="60" w:after="60"/>
            </w:pPr>
            <w:r>
              <w:t>2 of 2 right: skip Module 2</w:t>
            </w:r>
          </w:p>
        </w:tc>
        <w:tc>
          <w:tcPr>
            <w:tcW w:type="dxa" w:w="2608"/>
            <w:shd w:val="clear" w:color="auto" w:fill="F7F0FB"/>
          </w:tcPr>
          <w:p>
            <w:pPr>
              <w:keepNext/>
              <w:spacing w:before="60" w:after="60"/>
            </w:pPr>
            <w:r>
              <w:t>2 of 2 right: skip Module 3</w:t>
            </w:r>
          </w:p>
        </w:tc>
        <w:tc>
          <w:tcPr>
            <w:tcW w:type="dxa" w:w="2608"/>
            <w:shd w:val="clear" w:color="auto" w:fill="F7F0FB"/>
          </w:tcPr>
          <w:p>
            <w:pPr>
              <w:keepNext/>
              <w:spacing w:before="60" w:after="60"/>
            </w:pPr>
            <w:r>
              <w:t>2 of 2 right: skip Module 4</w:t>
            </w:r>
          </w:p>
        </w:tc>
      </w:tr>
      <w:tr>
        <w:trPr>
          <w:cantSplit w:val="true"/>
        </w:trPr>
        <w:tc>
          <w:tcPr>
            <w:tcW w:type="dxa" w:w="1814"/>
          </w:tcPr>
          <w:p>
            <w:pPr>
              <w:keepNext/>
              <w:spacing w:before="60" w:after="60"/>
            </w:pPr>
            <w:r>
              <w:rPr>
                <w:b/>
              </w:rPr>
              <w:t>Remediation</w:t>
            </w:r>
          </w:p>
        </w:tc>
        <w:tc>
          <w:tcPr>
            <w:tcW w:type="dxa" w:w="2608"/>
          </w:tcPr>
          <w:p>
            <w:pPr>
              <w:keepNext/>
              <w:spacing w:before="60" w:after="60"/>
            </w:pPr>
            <w:r>
              <w:t>Worked example of a single-line correction, SOP clause 2</w:t>
            </w:r>
          </w:p>
        </w:tc>
        <w:tc>
          <w:tcPr>
            <w:tcW w:type="dxa" w:w="2608"/>
          </w:tcPr>
          <w:p>
            <w:pPr>
              <w:keepNext/>
              <w:spacing w:before="60" w:after="60"/>
            </w:pPr>
            <w:r>
              <w:t>Worked example of a late entry, SOP clause 3</w:t>
            </w:r>
          </w:p>
        </w:tc>
        <w:tc>
          <w:tcPr>
            <w:tcW w:type="dxa" w:w="2608"/>
          </w:tcPr>
          <w:p>
            <w:pPr>
              <w:keepNext/>
              <w:spacing w:before="60" w:after="60"/>
            </w:pPr>
            <w:r>
              <w:t>Worked example of refusing and reporting, SOP clause 4</w:t>
            </w:r>
          </w:p>
        </w:tc>
      </w:tr>
      <w:tr>
        <w:trPr>
          <w:cantSplit w:val="true"/>
        </w:trPr>
        <w:tc>
          <w:tcPr>
            <w:tcW w:type="dxa" w:w="1814"/>
            <w:shd w:val="clear" w:color="auto" w:fill="F7F0FB"/>
          </w:tcPr>
          <w:p>
            <w:pPr>
              <w:keepNext/>
              <w:spacing w:before="60" w:after="60"/>
            </w:pPr>
            <w:r>
              <w:rPr>
                <w:b/>
              </w:rPr>
              <w:t>Then</w:t>
            </w:r>
          </w:p>
        </w:tc>
        <w:tc>
          <w:tcPr>
            <w:tcW w:type="dxa" w:w="2608"/>
            <w:shd w:val="clear" w:color="auto" w:fill="F7F0FB"/>
          </w:tcPr>
          <w:p>
            <w:pPr>
              <w:keepNext/>
              <w:spacing w:before="60" w:after="60"/>
            </w:pPr>
            <w:r>
              <w:t>2 new items; fail again: coached session</w:t>
            </w:r>
          </w:p>
        </w:tc>
        <w:tc>
          <w:tcPr>
            <w:tcW w:type="dxa" w:w="2608"/>
            <w:shd w:val="clear" w:color="auto" w:fill="F7F0FB"/>
          </w:tcPr>
          <w:p>
            <w:pPr>
              <w:keepNext/>
              <w:spacing w:before="60" w:after="60"/>
            </w:pPr>
            <w:r>
              <w:t>2 new items; fail again: coached session</w:t>
            </w:r>
          </w:p>
        </w:tc>
        <w:tc>
          <w:tcPr>
            <w:tcW w:type="dxa" w:w="2608"/>
            <w:shd w:val="clear" w:color="auto" w:fill="F7F0FB"/>
          </w:tcPr>
          <w:p>
            <w:pPr>
              <w:keepNext w:val="0"/>
              <w:spacing w:before="60" w:after="60"/>
            </w:pPr>
            <w:r>
              <w:t>2 new items; fail again: coached session</w:t>
            </w:r>
          </w:p>
        </w:tc>
      </w:tr>
    </w:tbl>
    <w:p>
      <w:pPr>
        <w:pageBreakBefore w:val="0"/>
        <w:spacing w:before="160"/>
      </w:pPr>
      <w:r>
        <w:t>Role modules, routed by job, not score: operators take "Batch records and line clearance" (a pre-filled line clearance checklist); QC analysts take "Lab records and audit trails" (a chromatography result reprocessed with no recorded reason).</w:t>
      </w:r>
    </w:p>
    <w:p>
      <w:pPr>
        <w:keepNext/>
        <w:pageBreakBefore/>
        <w:spacing w:before="240" w:after="80"/>
      </w:pPr>
      <w:r>
        <w:rPr>
          <w:b/>
          <w:color w:val="5D008F"/>
          <w:sz w:val="28"/>
        </w:rPr>
        <w:t>Part 2. Your objective planner</w:t>
      </w:r>
    </w:p>
    <w:p>
      <w:pPr>
        <w:keepNext/>
        <w:pageBreakBefore w:val="0"/>
      </w:pPr>
      <w:r>
        <w:t>Course:                                                        Objective: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Pr>
                <w:b/>
                <w:color w:val="FFFFFF"/>
              </w:rPr>
            </w:r>
            <w:r>
              <w:rPr>
                <w:b/>
                <w:color w:val="FFFFFF"/>
              </w:rPr>
              <w:t>Design decision</w:t>
            </w:r>
          </w:p>
        </w:tc>
        <w:tc>
          <w:tcPr>
            <w:tcW w:type="dxa" w:w="7087"/>
            <w:shd w:val="clear" w:color="auto" w:fill="5D008F"/>
          </w:tcPr>
          <w:p>
            <w:pPr>
              <w:spacing w:before="60" w:after="60"/>
            </w:pPr>
            <w:r>
              <w:rPr>
                <w:b/>
                <w:color w:val="FFFFFF"/>
              </w:rPr>
            </w:r>
            <w:r>
              <w:rPr>
                <w:b/>
                <w:color w:val="FFFFFF"/>
              </w:rPr>
              <w:t>Your plan</w:t>
            </w:r>
          </w:p>
        </w:tc>
      </w:tr>
      <w:tr>
        <w:trPr>
          <w:cantSplit w:val="true"/>
          <w:trHeight w:val="1247"/>
        </w:trPr>
        <w:tc>
          <w:tcPr>
            <w:tcW w:type="dxa" w:w="2551"/>
          </w:tcPr>
          <w:p>
            <w:pPr>
              <w:spacing w:before="60" w:after="60"/>
            </w:pPr>
            <w:r>
              <w:rPr>
                <w:b/>
              </w:rPr>
              <w:t>Pre-check evidence and coverage reviewed</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Test-out rule</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Module</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Mastery check</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Remediation (not the same page again)</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Person steps in</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Recorded</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Who applies this route</w:t>
            </w:r>
          </w:p>
        </w:tc>
        <w:tc>
          <w:tcPr>
            <w:tcW w:type="dxa" w:w="7087"/>
            <w:shd w:val="clear" w:color="auto" w:fill="F7F0FB"/>
          </w:tcPr>
          <w:p>
            <w:pPr>
              <w:spacing w:before="60" w:after="60"/>
            </w:pPr>
            <w:r/>
          </w:p>
        </w:tc>
      </w:tr>
    </w:tbl>
    <w:p>
      <w:pPr>
        <w:pageBreakBefore w:val="0"/>
        <w:spacing w:before="160"/>
      </w:pPr>
      <w:r>
        <w:rPr>
          <w:i/>
          <w:color w:val="5A5766"/>
        </w:rPr>
        <w:t>Copy this page for each objective.</w:t>
      </w:r>
    </w:p>
    <w:p>
      <w:pPr>
        <w:keepNext/>
        <w:pageBreakBefore/>
        <w:spacing w:before="240" w:after="80"/>
      </w:pPr>
      <w:r>
        <w:rPr>
          <w:b/>
          <w:color w:val="5D008F"/>
          <w:sz w:val="28"/>
        </w:rPr>
        <w:t>Part 3. Final check and record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Pr>
                <w:b/>
                <w:color w:val="FFFFFF"/>
              </w:rPr>
            </w:r>
            <w:r>
              <w:rPr>
                <w:b/>
                <w:color w:val="FFFFFF"/>
              </w:rPr>
              <w:t>Decision</w:t>
            </w:r>
          </w:p>
        </w:tc>
        <w:tc>
          <w:tcPr>
            <w:tcW w:type="dxa" w:w="3685"/>
            <w:shd w:val="clear" w:color="auto" w:fill="5D008F"/>
          </w:tcPr>
          <w:p>
            <w:pPr>
              <w:spacing w:before="60" w:after="60"/>
            </w:pPr>
            <w:r>
              <w:rPr>
                <w:b/>
                <w:color w:val="FFFFFF"/>
              </w:rPr>
            </w:r>
            <w:r>
              <w:rPr>
                <w:b/>
                <w:color w:val="FFFFFF"/>
              </w:rPr>
              <w:t>GDP refresher (example)</w:t>
            </w:r>
          </w:p>
        </w:tc>
        <w:tc>
          <w:tcPr>
            <w:tcW w:type="dxa" w:w="3685"/>
            <w:shd w:val="clear" w:color="auto" w:fill="5D008F"/>
          </w:tcPr>
          <w:p>
            <w:pPr>
              <w:spacing w:before="60" w:after="60"/>
            </w:pPr>
            <w:r>
              <w:rPr>
                <w:b/>
                <w:color w:val="FFFFFF"/>
              </w:rPr>
            </w:r>
            <w:r>
              <w:rPr>
                <w:b/>
                <w:color w:val="FFFFFF"/>
              </w:rPr>
              <w:t>Your course</w:t>
            </w:r>
          </w:p>
        </w:tc>
      </w:tr>
      <w:tr>
        <w:trPr>
          <w:cantSplit w:val="true"/>
          <w:trHeight w:val="1020"/>
        </w:trPr>
        <w:tc>
          <w:tcPr>
            <w:tcW w:type="dxa" w:w="2268"/>
          </w:tcPr>
          <w:p>
            <w:pPr>
              <w:spacing w:before="60" w:after="60"/>
            </w:pPr>
            <w:r>
              <w:rPr>
                <w:b/>
              </w:rPr>
              <w:t>Who sits the final check</w:t>
            </w:r>
          </w:p>
        </w:tc>
        <w:tc>
          <w:tcPr>
            <w:tcW w:type="dxa" w:w="3685"/>
          </w:tcPr>
          <w:p>
            <w:pPr>
              <w:spacing w:before="60" w:after="60"/>
            </w:pPr>
            <w:r>
              <w:t>Everyone, including people who tested out of everything</w:t>
            </w:r>
          </w:p>
        </w:tc>
        <w:tc>
          <w:tcPr>
            <w:tcW w:type="dxa" w:w="3685"/>
          </w:tcPr>
          <w:p>
            <w:pPr>
              <w:spacing w:before="60" w:after="60"/>
            </w:pPr>
            <w:r/>
          </w:p>
        </w:tc>
      </w:tr>
      <w:tr>
        <w:trPr>
          <w:cantSplit w:val="true"/>
          <w:trHeight w:val="1020"/>
        </w:trPr>
        <w:tc>
          <w:tcPr>
            <w:tcW w:type="dxa" w:w="2268"/>
            <w:shd w:val="clear" w:color="auto" w:fill="F7F0FB"/>
          </w:tcPr>
          <w:p>
            <w:pPr>
              <w:spacing w:before="60" w:after="60"/>
            </w:pPr>
            <w:r>
              <w:rPr>
                <w:b/>
              </w:rPr>
              <w:t>Items</w:t>
            </w:r>
          </w:p>
        </w:tc>
        <w:tc>
          <w:tcPr>
            <w:tcW w:type="dxa" w:w="3685"/>
            <w:shd w:val="clear" w:color="auto" w:fill="F7F0FB"/>
          </w:tcPr>
          <w:p>
            <w:pPr>
              <w:spacing w:before="60" w:after="60"/>
            </w:pPr>
            <w:r>
              <w:t>4 new scenario items, one per objective, all four required</w:t>
            </w:r>
          </w:p>
        </w:tc>
        <w:tc>
          <w:tcPr>
            <w:tcW w:type="dxa" w:w="3685"/>
            <w:shd w:val="clear" w:color="auto" w:fill="F7F0FB"/>
          </w:tcPr>
          <w:p>
            <w:pPr>
              <w:spacing w:before="60" w:after="60"/>
            </w:pPr>
            <w:r/>
          </w:p>
        </w:tc>
      </w:tr>
      <w:tr>
        <w:trPr>
          <w:cantSplit w:val="true"/>
          <w:trHeight w:val="1020"/>
        </w:trPr>
        <w:tc>
          <w:tcPr>
            <w:tcW w:type="dxa" w:w="2268"/>
          </w:tcPr>
          <w:p>
            <w:pPr>
              <w:spacing w:before="60" w:after="60"/>
            </w:pPr>
            <w:r>
              <w:rPr>
                <w:b/>
              </w:rPr>
              <w:t>If an item is missed</w:t>
            </w:r>
          </w:p>
        </w:tc>
        <w:tc>
          <w:tcPr>
            <w:tcW w:type="dxa" w:w="3685"/>
          </w:tcPr>
          <w:p>
            <w:pPr>
              <w:spacing w:before="60" w:after="60"/>
            </w:pPr>
            <w:r>
              <w:t>Back to that objective's module, then a new item for that objective</w:t>
            </w:r>
          </w:p>
        </w:tc>
        <w:tc>
          <w:tcPr>
            <w:tcW w:type="dxa" w:w="3685"/>
          </w:tcPr>
          <w:p>
            <w:pPr>
              <w:spacing w:before="60" w:after="60"/>
            </w:pPr>
            <w:r/>
          </w:p>
        </w:tc>
      </w:tr>
      <w:tr>
        <w:trPr>
          <w:cantSplit w:val="true"/>
          <w:trHeight w:val="1020"/>
        </w:trPr>
        <w:tc>
          <w:tcPr>
            <w:tcW w:type="dxa" w:w="2268"/>
            <w:shd w:val="clear" w:color="auto" w:fill="F7F0FB"/>
          </w:tcPr>
          <w:p>
            <w:pPr>
              <w:spacing w:before="60" w:after="60"/>
            </w:pPr>
            <w:r>
              <w:rPr>
                <w:b/>
              </w:rPr>
              <w:t>Record per person</w:t>
            </w:r>
          </w:p>
        </w:tc>
        <w:tc>
          <w:tcPr>
            <w:tcW w:type="dxa" w:w="3685"/>
            <w:shd w:val="clear" w:color="auto" w:fill="F7F0FB"/>
          </w:tcPr>
          <w:p>
            <w:pPr>
              <w:spacing w:before="60" w:after="60"/>
            </w:pPr>
            <w:r>
              <w:t>Objectives tested out of, modules completed, final check result, coaching referrals</w:t>
            </w:r>
          </w:p>
        </w:tc>
        <w:tc>
          <w:tcPr>
            <w:tcW w:type="dxa" w:w="3685"/>
            <w:shd w:val="clear" w:color="auto" w:fill="F7F0FB"/>
          </w:tcPr>
          <w:p>
            <w:pPr>
              <w:spacing w:before="60" w:after="60"/>
            </w:pPr>
            <w:r/>
          </w:p>
        </w:tc>
      </w:tr>
      <w:tr>
        <w:trPr>
          <w:cantSplit w:val="true"/>
          <w:trHeight w:val="1020"/>
        </w:trPr>
        <w:tc>
          <w:tcPr>
            <w:tcW w:type="dxa" w:w="2268"/>
          </w:tcPr>
          <w:p>
            <w:pPr>
              <w:spacing w:before="60" w:after="60"/>
            </w:pPr>
            <w:r>
              <w:rPr>
                <w:b/>
              </w:rPr>
              <w:t>Who reviews it</w:t>
            </w:r>
          </w:p>
        </w:tc>
        <w:tc>
          <w:tcPr>
            <w:tcW w:type="dxa" w:w="3685"/>
          </w:tcPr>
          <w:p>
            <w:pPr>
              <w:spacing w:before="60" w:after="60"/>
            </w:pPr>
            <w:r>
              <w:t>The QA trainer reviews referrals</w:t>
            </w:r>
          </w:p>
        </w:tc>
        <w:tc>
          <w:tcPr>
            <w:tcW w:type="dxa" w:w="3685"/>
          </w:tcPr>
          <w:p>
            <w:pPr>
              <w:spacing w:before="60" w:after="60"/>
            </w:pPr>
            <w:r/>
          </w:p>
        </w:tc>
      </w:tr>
      <w:tr>
        <w:trPr>
          <w:cantSplit w:val="true"/>
          <w:trHeight w:val="1020"/>
        </w:trPr>
        <w:tc>
          <w:tcPr>
            <w:tcW w:type="dxa" w:w="2268"/>
            <w:shd w:val="clear" w:color="auto" w:fill="F7F0FB"/>
          </w:tcPr>
          <w:p>
            <w:pPr>
              <w:spacing w:before="60" w:after="60"/>
            </w:pPr>
            <w:r>
              <w:rPr>
                <w:b/>
              </w:rPr>
              <w:t>What you will measure after launch</w:t>
            </w:r>
          </w:p>
        </w:tc>
        <w:tc>
          <w:tcPr>
            <w:tcW w:type="dxa" w:w="3685"/>
            <w:shd w:val="clear" w:color="auto" w:fill="F7F0FB"/>
          </w:tcPr>
          <w:p>
            <w:pPr>
              <w:spacing w:before="60" w:after="60"/>
            </w:pPr>
            <w:r>
              <w:t>Time on the course per person; how many test out of each objective; how many reach remediation and coaching; sampled work records for behaviour, and volume-adjusted deviation rates as separate organisational results</w:t>
            </w:r>
          </w:p>
        </w:tc>
        <w:tc>
          <w:tcPr>
            <w:tcW w:type="dxa" w:w="3685"/>
            <w:shd w:val="clear" w:color="auto" w:fill="F7F0FB"/>
          </w:tcPr>
          <w:p>
            <w:pPr>
              <w:spacing w:before="60" w:after="60"/>
            </w:pPr>
            <w:r/>
          </w:p>
        </w:tc>
      </w:tr>
    </w:tbl>
    <w:p>
      <w:pPr>
        <w:pageBreakBefore w:val="0"/>
        <w:spacing w:before="160"/>
      </w:pPr>
      <w:r>
        <w:rPr>
          <w:i/>
          <w:color w:val="5A5766"/>
        </w:rPr>
        <w:t>A pre-check can be passed with a lucky pair of answers, and a final check can detect some gaps, but cannot guarantee valid mastery decisions. Nothing on this sheet shows that the course changes what people do at work; check that against real records later.</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