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</w:pPr>
      <w:r>
        <w:rPr>
          <w:b/>
          <w:bCs/>
          <w:color w:val="5D008F"/>
          <w:sz w:val="40"/>
          <w:szCs w:val="40"/>
          <w:rtl/>
        </w:rPr>
        <w:t>قائمة تحقق الأحداث التسعة للتعلم الإلكتروني</w:t>
      </w:r>
    </w:p>
    <w:p>
      <w:pPr>
        <w:bidi/>
      </w:pPr>
      <w:r>
        <w:rPr>
          <w:color w:val="5A5766"/>
          <w:sz w:val="22"/>
          <w:szCs w:val="22"/>
          <w:rtl/>
        </w:rPr>
        <w:t>افحص دورة ذاتية أو وحدة تعليمية وفق أحداث جانييه التسعة قبل نشرها.</w:t>
      </w:r>
    </w:p>
    <w:p>
      <w:pPr>
        <w:bidi/>
      </w:pPr>
      <w:r>
        <w:rPr>
          <w:i/>
          <w:iCs/>
          <w:color w:val="5A5766"/>
          <w:sz w:val="18"/>
          <w:szCs w:val="18"/>
          <w:rtl/>
        </w:rPr>
        <w:t>من مدونة Coursebox: coursebox.ai/blog/gagne-instructional-design-model</w:t>
      </w:r>
    </w:p>
    <w:p>
      <w:pPr>
        <w:keepNext/>
        <w:bidi/>
        <w:spacing w:before="240" w:after="80"/>
      </w:pPr>
      <w:r>
        <w:rPr>
          <w:b/>
          <w:bCs/>
          <w:color w:val="5D008F"/>
          <w:sz w:val="28"/>
          <w:szCs w:val="28"/>
          <w:rtl/>
        </w:rPr>
        <w:t>قائمة التحقق</w:t>
      </w:r>
    </w:p>
    <w:tbl>
      <w:tblPr>
        <w:bidiVisual/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الحدث</w:t>
            </w:r>
          </w:p>
        </w:tc>
        <w:tc>
          <w:tcPr>
            <w:tcW w:type="dxa" w:w="5443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ما الذي تبحث عنه في الدورة عبر الإنترنت</w:t>
            </w:r>
          </w:p>
        </w:tc>
        <w:tc>
          <w:tcPr>
            <w:tcW w:type="dxa" w:w="2041"/>
            <w:shd w:val="clear" w:color="auto" w:fill="5D008F"/>
          </w:tcPr>
          <w:p>
            <w:pPr>
              <w:bidi/>
              <w:spacing w:before="60" w:after="60"/>
            </w:pPr>
            <w:r/>
            <w:r>
              <w:rPr>
                <w:b/>
                <w:bCs/>
                <w:color w:val="FFFFFF"/>
                <w:rtl/>
              </w:rPr>
              <w:t>نعم / لا / يحتاج إصلاحًا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1. جذب الانتباه</w:t>
            </w:r>
          </w:p>
        </w:tc>
        <w:tc>
          <w:tcPr>
            <w:tcW w:type="dxa" w:w="5443"/>
          </w:tcPr>
          <w:p>
            <w:pPr>
              <w:bidi/>
              <w:spacing w:before="60" w:after="60"/>
            </w:pPr>
            <w:r>
              <w:t>تبدأ بمشكلة أو حالة أو سؤال واقعي، وليس بصفحة ترحيب وشعار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2. إبلاغ المتعلمين بالهدف</w:t>
            </w:r>
          </w:p>
        </w:tc>
        <w:tc>
          <w:tcPr>
            <w:tcW w:type="dxa" w:w="5443"/>
            <w:shd w:val="clear" w:color="auto" w:fill="F7F0FB"/>
          </w:tcPr>
          <w:p>
            <w:pPr>
              <w:bidi/>
              <w:spacing w:before="60" w:after="60"/>
            </w:pPr>
            <w:r>
              <w:t>توضح بعبارات بسيطة ما سيتمكن المتعلمون من فعله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3. تنشيط التعلم السابق</w:t>
            </w:r>
          </w:p>
        </w:tc>
        <w:tc>
          <w:tcPr>
            <w:tcW w:type="dxa" w:w="5443"/>
          </w:tcPr>
          <w:p>
            <w:pPr>
              <w:bidi/>
              <w:spacing w:before="60" w:after="60"/>
            </w:pPr>
            <w:r>
              <w:t>تطلب من المتعلمين استرجاع ما يعرفونه قبل عرض المحتوى الجديد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4. عرض المحتوى</w:t>
            </w:r>
          </w:p>
        </w:tc>
        <w:tc>
          <w:tcPr>
            <w:tcW w:type="dxa" w:w="5443"/>
            <w:shd w:val="clear" w:color="auto" w:fill="F7F0FB"/>
          </w:tcPr>
          <w:p>
            <w:pPr>
              <w:bidi/>
              <w:spacing w:before="60" w:after="60"/>
            </w:pPr>
            <w:r>
              <w:t>المحتوى مقسّم إلى أجزاء ويطابق الهدف دون إضافات زائدة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5. تقديم الإرشاد التعليمي</w:t>
            </w:r>
          </w:p>
        </w:tc>
        <w:tc>
          <w:tcPr>
            <w:tcW w:type="dxa" w:w="5443"/>
          </w:tcPr>
          <w:p>
            <w:pPr>
              <w:bidi/>
              <w:spacing w:before="60" w:after="60"/>
            </w:pPr>
            <w:r>
              <w:t>تتوافر أمثلة محلولة أو أدوات مساعدة في العمل أو تلميحات أو تشبيهات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6. استثارة الأداء</w:t>
            </w:r>
          </w:p>
        </w:tc>
        <w:tc>
          <w:tcPr>
            <w:tcW w:type="dxa" w:w="5443"/>
            <w:shd w:val="clear" w:color="auto" w:fill="F7F0FB"/>
          </w:tcPr>
          <w:p>
            <w:pPr>
              <w:bidi/>
              <w:spacing w:before="60" w:after="60"/>
            </w:pPr>
            <w:r>
              <w:t>يمارس المتعلمون المهمة، ولا يكتفون بالقراءة عنها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7. تقديم التغذية الراجعة</w:t>
            </w:r>
          </w:p>
        </w:tc>
        <w:tc>
          <w:tcPr>
            <w:tcW w:type="dxa" w:w="5443"/>
          </w:tcPr>
          <w:p>
            <w:pPr>
              <w:bidi/>
              <w:spacing w:before="60" w:after="60"/>
            </w:pPr>
            <w:r>
              <w:t>التغذية الراجعة على الممارسة تشرح الأداء وتدعم التصحيح، ويمكن تقديمها بعد التقييم عند الاقتضاء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8. تقييم الأداء</w:t>
            </w:r>
          </w:p>
        </w:tc>
        <w:tc>
          <w:tcPr>
            <w:tcW w:type="dxa" w:w="5443"/>
            <w:shd w:val="clear" w:color="auto" w:fill="F7F0FB"/>
          </w:tcPr>
          <w:p>
            <w:pPr>
              <w:bidi/>
              <w:spacing w:before="60" w:after="60"/>
            </w:pPr>
            <w:r>
              <w:t>اختبار نهائي يقيس الهدف، مع معيار نجاح واضح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bidi/>
              <w:spacing w:before="60" w:after="60"/>
            </w:pPr>
            <w:r>
              <w:rPr>
                <w:b/>
                <w:bCs/>
                <w:rtl/>
              </w:rPr>
              <w:t>9. تعزيز الاحتفاظ والانتقال</w:t>
            </w:r>
          </w:p>
        </w:tc>
        <w:tc>
          <w:tcPr>
            <w:tcW w:type="dxa" w:w="5443"/>
          </w:tcPr>
          <w:p>
            <w:pPr>
              <w:bidi/>
              <w:spacing w:before="60" w:after="60"/>
            </w:pPr>
            <w:r>
              <w:t>يُخطَّط لأداة مساعدة في العمل أو ممارسة متابعة أو تدريب منشّط بعد الدورة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bidi/>
        <w:spacing w:before="240" w:after="80"/>
      </w:pPr>
      <w:r>
        <w:rPr>
          <w:b/>
          <w:bCs/>
          <w:color w:val="5D008F"/>
          <w:sz w:val="28"/>
          <w:szCs w:val="28"/>
          <w:rtl/>
        </w:rPr>
        <w:t>ليس كل درس بحاجة إلى الأحداث التسعة كلها</w:t>
      </w:r>
    </w:p>
    <w:p>
      <w:pPr>
        <w:pStyle w:val="ListBullet"/>
        <w:bidi/>
      </w:pPr>
      <w:r>
        <w:t>عدّل الأحداث أو ادمجها أو كررها بما يناسب الهدف والتعلم السابق. قِصر المدة وحده ليس سببًا لحذف الاسترجاع أو الممارسة أو التقييم.</w:t>
      </w:r>
    </w:p>
    <w:p>
      <w:pPr>
        <w:pStyle w:val="ListBullet"/>
        <w:bidi/>
      </w:pPr>
      <w:r>
        <w:t>يمكن تغيير الترتيب. تبدأ بعض الدروس بالممارسة ثم تعرض المحتوى بعد ذلك.</w:t>
      </w:r>
    </w:p>
    <w:p>
      <w:pPr>
        <w:pStyle w:val="ListBullet"/>
        <w:bidi/>
      </w:pPr>
      <w:r>
        <w:t>الحدثان 6 و7 هما الأكثر غيابًا عن الدورات الذاتية. افحصهما أولًا.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</w:pPr>
    <w:r>
      <w:rPr>
        <w:color w:val="5A5766"/>
        <w:sz w:val="16"/>
        <w:szCs w:val="16"/>
        <w:rtl/>
      </w:rPr>
      <w:t xml:space="preserve">coursebox.ai  |  قالب مجاني  |  صفحة </w:t>
    </w:r>
    <w:r>
      <w:rPr>
        <w:color w:val="5A5766"/>
        <w:sz w:val="16"/>
        <w:szCs w:val="16"/>
        <w:rtl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