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One Task, Three Ways: Design Sheet</w:t>
      </w:r>
    </w:p>
    <w:p>
      <w:r>
        <w:rPr>
          <w:color w:val="5A5766"/>
          <w:sz w:val="22"/>
        </w:rPr>
        <w:t>Describe one workplace task, design it as a behaviorist, a cognitivist and a constructivist would, then decide which approach fits each part of the task. Based on Ertmer and Newby's comparison of the three theories for instructional designers. The refund course is filled in.</w:t>
      </w:r>
    </w:p>
    <w:p>
      <w:r>
        <w:rPr>
          <w:i/>
          <w:color w:val="5A5766"/>
          <w:sz w:val="18"/>
        </w:rPr>
        <w:t>From the Coursebox blog: coursebox.ai/blog/behaviorism-cognitivism-constructivism-learning-theories</w:t>
      </w:r>
    </w:p>
    <w:p>
      <w:pPr>
        <w:keepNext/>
        <w:spacing w:before="240" w:after="80"/>
      </w:pPr>
      <w:r>
        <w:rPr>
          <w:b/>
          <w:color w:val="5D008F"/>
          <w:sz w:val="28"/>
        </w:rPr>
        <w:t>How to use this sheet</w:t>
      </w:r>
    </w:p>
    <w:p>
      <w:pPr>
        <w:pStyle w:val="ListBullet"/>
      </w:pPr>
      <w:r>
        <w:t>Pick one task people do at work and describe it fully: the learners, the setting, the task, the problem and the outcome you want.</w:t>
      </w:r>
    </w:p>
    <w:p>
      <w:pPr>
        <w:pStyle w:val="ListBullet"/>
      </w:pPr>
      <w:r>
        <w:t>List the information learners need to do the task, so no decision depends on knowledge the course never gives them.</w:t>
      </w:r>
    </w:p>
    <w:p>
      <w:pPr>
        <w:pStyle w:val="ListBullet"/>
      </w:pPr>
      <w:r>
        <w:t>Design the whole task three times, once through each theory, with a goal, an activity, an assessment and feedback.</w:t>
      </w:r>
    </w:p>
    <w:p>
      <w:pPr>
        <w:pStyle w:val="ListBullet"/>
      </w:pPr>
      <w:r>
        <w:t>Note where each version falls short, then decide which approach fits each part of the task.</w:t>
      </w:r>
    </w:p>
    <w:p>
      <w:pPr>
        <w:pStyle w:val="ListBullet"/>
      </w:pPr>
      <w:r>
        <w:t>Carry the same task into your planner, your course outline and your assessments.</w:t>
      </w:r>
    </w:p>
    <w:p>
      <w:pPr>
        <w:keepNext/>
        <w:spacing w:before="240" w:after="80"/>
      </w:pPr>
      <w:r>
        <w:rPr>
          <w:b/>
          <w:color w:val="5D008F"/>
          <w:sz w:val="28"/>
        </w:rPr>
        <w:t>1. Worked example: the task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Field</w:t>
            </w:r>
          </w:p>
        </w:tc>
        <w:tc>
          <w:tcPr>
            <w:tcW w:type="dxa" w:w="7257"/>
            <w:shd w:val="clear" w:color="auto" w:fill="5D008F"/>
          </w:tcPr>
          <w:p>
            <w:pPr>
              <w:spacing w:before="60" w:after="60"/>
            </w:pPr>
            <w:r/>
            <w:r>
              <w:rPr>
                <w:b/>
                <w:color w:val="FFFFFF"/>
              </w:rPr>
              <w:t>Refund requests (a hypothetical example)</w:t>
            </w:r>
          </w:p>
        </w:tc>
      </w:tr>
      <w:tr>
        <w:trPr>
          <w:cantSplit w:val="true"/>
        </w:trPr>
        <w:tc>
          <w:tcPr>
            <w:tcW w:type="dxa" w:w="2381"/>
          </w:tcPr>
          <w:p>
            <w:pPr>
              <w:spacing w:before="60" w:after="60"/>
            </w:pPr>
            <w:r>
              <w:rPr>
                <w:b/>
              </w:rPr>
              <w:t>Learners</w:t>
            </w:r>
          </w:p>
        </w:tc>
        <w:tc>
          <w:tcPr>
            <w:tcW w:type="dxa" w:w="7257"/>
          </w:tcPr>
          <w:p>
            <w:pPr>
              <w:spacing w:before="60" w:after="60"/>
            </w:pPr>
            <w:r>
              <w:t>New agents in their first weeks at an energy retailer's contact centre; some have contact-centre experience elsewhere, none with this retailer's CRM or refund policy</w:t>
            </w:r>
          </w:p>
        </w:tc>
      </w:tr>
      <w:tr>
        <w:trPr>
          <w:cantSplit w:val="true"/>
        </w:trPr>
        <w:tc>
          <w:tcPr>
            <w:tcW w:type="dxa" w:w="2381"/>
            <w:shd w:val="clear" w:color="auto" w:fill="F7F0FB"/>
          </w:tcPr>
          <w:p>
            <w:pPr>
              <w:spacing w:before="60" w:after="60"/>
            </w:pPr>
            <w:r>
              <w:rPr>
                <w:b/>
              </w:rPr>
              <w:t>Setting</w:t>
            </w:r>
          </w:p>
        </w:tc>
        <w:tc>
          <w:tcPr>
            <w:tcW w:type="dxa" w:w="7257"/>
            <w:shd w:val="clear" w:color="auto" w:fill="F7F0FB"/>
          </w:tcPr>
          <w:p>
            <w:pPr>
              <w:spacing w:before="60" w:after="60"/>
            </w:pPr>
            <w:r>
              <w:t>Phone calls from customers asking for a refund</w:t>
            </w:r>
          </w:p>
        </w:tc>
      </w:tr>
      <w:tr>
        <w:trPr>
          <w:cantSplit w:val="true"/>
        </w:trPr>
        <w:tc>
          <w:tcPr>
            <w:tcW w:type="dxa" w:w="2381"/>
          </w:tcPr>
          <w:p>
            <w:pPr>
              <w:spacing w:before="60" w:after="60"/>
            </w:pPr>
            <w:r>
              <w:rPr>
                <w:b/>
              </w:rPr>
              <w:t>Task</w:t>
            </w:r>
          </w:p>
        </w:tc>
        <w:tc>
          <w:tcPr>
            <w:tcW w:type="dxa" w:w="7257"/>
          </w:tcPr>
          <w:p>
            <w:pPr>
              <w:spacing w:before="60" w:after="60"/>
            </w:pPr>
            <w:r>
              <w:t>Log the request in the CRM in the required field order, decide whether a standard refund applies, and handle cases the policy does not settle cleanly</w:t>
            </w:r>
          </w:p>
        </w:tc>
      </w:tr>
      <w:tr>
        <w:trPr>
          <w:cantSplit w:val="true"/>
        </w:trPr>
        <w:tc>
          <w:tcPr>
            <w:tcW w:type="dxa" w:w="2381"/>
            <w:shd w:val="clear" w:color="auto" w:fill="F7F0FB"/>
          </w:tcPr>
          <w:p>
            <w:pPr>
              <w:spacing w:before="60" w:after="60"/>
            </w:pPr>
            <w:r>
              <w:rPr>
                <w:b/>
              </w:rPr>
              <w:t>Problem</w:t>
            </w:r>
          </w:p>
        </w:tc>
        <w:tc>
          <w:tcPr>
            <w:tcW w:type="dxa" w:w="7257"/>
            <w:shd w:val="clear" w:color="auto" w:fill="F7F0FB"/>
          </w:tcPr>
          <w:p>
            <w:pPr>
              <w:spacing w:before="60" w:after="60"/>
            </w:pPr>
            <w:r>
              <w:t>Each part of the call needs a different kind of learning, and a course built on one approach leaves the other parts untrained</w:t>
            </w:r>
          </w:p>
        </w:tc>
      </w:tr>
      <w:tr>
        <w:trPr>
          <w:cantSplit w:val="true"/>
        </w:trPr>
        <w:tc>
          <w:tcPr>
            <w:tcW w:type="dxa" w:w="2381"/>
          </w:tcPr>
          <w:p>
            <w:pPr>
              <w:spacing w:before="60" w:after="60"/>
            </w:pPr>
            <w:r>
              <w:rPr>
                <w:b/>
              </w:rPr>
              <w:t>Intended outcome</w:t>
            </w:r>
          </w:p>
        </w:tc>
        <w:tc>
          <w:tcPr>
            <w:tcW w:type="dxa" w:w="7257"/>
          </w:tcPr>
          <w:p>
            <w:pPr>
              <w:spacing w:before="60" w:after="60"/>
            </w:pPr>
            <w:r>
              <w:t>Standard refunds go through correctly, and unusual ones reach a sound, explained decision</w:t>
            </w:r>
          </w:p>
        </w:tc>
      </w:tr>
      <w:tr>
        <w:trPr>
          <w:cantSplit w:val="true"/>
        </w:trPr>
        <w:tc>
          <w:tcPr>
            <w:tcW w:type="dxa" w:w="2381"/>
            <w:shd w:val="clear" w:color="auto" w:fill="F7F0FB"/>
          </w:tcPr>
          <w:p>
            <w:pPr>
              <w:spacing w:before="60" w:after="60"/>
            </w:pPr>
            <w:r>
              <w:rPr>
                <w:b/>
              </w:rPr>
              <w:t>Information learners need</w:t>
            </w:r>
          </w:p>
        </w:tc>
        <w:tc>
          <w:tcPr>
            <w:tcW w:type="dxa" w:w="7257"/>
            <w:shd w:val="clear" w:color="auto" w:fill="F7F0FB"/>
          </w:tcPr>
          <w:p>
            <w:pPr>
              <w:spacing w:before="60" w:after="60"/>
            </w:pPr>
            <w:r>
              <w:t>The refund policy, the CRM screens and the customer's account history</w:t>
            </w:r>
          </w:p>
        </w:tc>
      </w:tr>
    </w:tbl>
    <w:p>
      <w:pPr>
        <w:keepNext/>
        <w:pageBreakBefore/>
        <w:spacing w:before="240" w:after="80"/>
      </w:pPr>
      <w:r>
        <w:rPr>
          <w:b/>
          <w:color w:val="5D008F"/>
          <w:sz w:val="28"/>
        </w:rPr>
        <w:t>2. Worked example: the task designed three ways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814"/>
            <w:shd w:val="clear" w:color="auto" w:fill="5D008F"/>
          </w:tcPr>
          <w:p>
            <w:pPr>
              <w:spacing w:before="60" w:after="60"/>
            </w:pPr>
            <w:r/>
            <w:r>
              <w:rPr>
                <w:b/>
                <w:color w:val="FFFFFF"/>
              </w:rPr>
              <w:t>Design element</w:t>
            </w:r>
          </w:p>
        </w:tc>
        <w:tc>
          <w:tcPr>
            <w:tcW w:type="dxa" w:w="2494"/>
            <w:shd w:val="clear" w:color="auto" w:fill="5D008F"/>
          </w:tcPr>
          <w:p>
            <w:pPr>
              <w:spacing w:before="60" w:after="60"/>
            </w:pPr>
            <w:r/>
            <w:r>
              <w:rPr>
                <w:b/>
                <w:color w:val="FFFFFF"/>
              </w:rPr>
              <w:t>Behaviorist version</w:t>
            </w:r>
          </w:p>
        </w:tc>
        <w:tc>
          <w:tcPr>
            <w:tcW w:type="dxa" w:w="2608"/>
            <w:shd w:val="clear" w:color="auto" w:fill="5D008F"/>
          </w:tcPr>
          <w:p>
            <w:pPr>
              <w:spacing w:before="60" w:after="60"/>
            </w:pPr>
            <w:r/>
            <w:r>
              <w:rPr>
                <w:b/>
                <w:color w:val="FFFFFF"/>
              </w:rPr>
              <w:t>Cognitivist version</w:t>
            </w:r>
          </w:p>
        </w:tc>
        <w:tc>
          <w:tcPr>
            <w:tcW w:type="dxa" w:w="2721"/>
            <w:shd w:val="clear" w:color="auto" w:fill="5D008F"/>
          </w:tcPr>
          <w:p>
            <w:pPr>
              <w:spacing w:before="60" w:after="60"/>
            </w:pPr>
            <w:r/>
            <w:r>
              <w:rPr>
                <w:b/>
                <w:color w:val="FFFFFF"/>
              </w:rPr>
              <w:t>Constructivist version</w:t>
            </w:r>
          </w:p>
        </w:tc>
      </w:tr>
      <w:tr>
        <w:trPr>
          <w:cantSplit w:val="true"/>
        </w:trPr>
        <w:tc>
          <w:tcPr>
            <w:tcW w:type="dxa" w:w="1814"/>
          </w:tcPr>
          <w:p>
            <w:pPr>
              <w:spacing w:before="60" w:after="60"/>
            </w:pPr>
            <w:r>
              <w:rPr>
                <w:b/>
              </w:rPr>
              <w:t>Goal</w:t>
            </w:r>
          </w:p>
        </w:tc>
        <w:tc>
          <w:tcPr>
            <w:tcW w:type="dxa" w:w="2494"/>
          </w:tcPr>
          <w:p>
            <w:pPr>
              <w:spacing w:before="60" w:after="60"/>
            </w:pPr>
            <w:r>
              <w:t>Enter the refund in the CRM in the required field order, without errors</w:t>
            </w:r>
          </w:p>
        </w:tc>
        <w:tc>
          <w:tcPr>
            <w:tcW w:type="dxa" w:w="2608"/>
          </w:tcPr>
          <w:p>
            <w:pPr>
              <w:spacing w:before="60" w:after="60"/>
            </w:pPr>
            <w:r>
              <w:t>Decide whether a standard refund applies and name the rule</w:t>
            </w:r>
          </w:p>
        </w:tc>
        <w:tc>
          <w:tcPr>
            <w:tcW w:type="dxa" w:w="2721"/>
          </w:tcPr>
          <w:p>
            <w:pPr>
              <w:spacing w:before="60" w:after="60"/>
            </w:pPr>
            <w:r>
              <w:t>Resolve a customer billed twice after moving house and justify the decision</w:t>
            </w:r>
          </w:p>
        </w:tc>
      </w:tr>
      <w:tr>
        <w:trPr>
          <w:cantSplit w:val="true"/>
        </w:trPr>
        <w:tc>
          <w:tcPr>
            <w:tcW w:type="dxa" w:w="1814"/>
            <w:shd w:val="clear" w:color="auto" w:fill="F7F0FB"/>
          </w:tcPr>
          <w:p>
            <w:pPr>
              <w:spacing w:before="60" w:after="60"/>
            </w:pPr>
            <w:r>
              <w:rPr>
                <w:b/>
              </w:rPr>
              <w:t>Activity</w:t>
            </w:r>
          </w:p>
        </w:tc>
        <w:tc>
          <w:tcPr>
            <w:tcW w:type="dxa" w:w="2494"/>
            <w:shd w:val="clear" w:color="auto" w:fill="F7F0FB"/>
          </w:tcPr>
          <w:p>
            <w:pPr>
              <w:spacing w:before="60" w:after="60"/>
            </w:pPr>
            <w:r>
              <w:t>Prompted, then unprompted practice rounds</w:t>
            </w:r>
          </w:p>
        </w:tc>
        <w:tc>
          <w:tcPr>
            <w:tcW w:type="dxa" w:w="2608"/>
            <w:shd w:val="clear" w:color="auto" w:fill="F7F0FB"/>
          </w:tcPr>
          <w:p>
            <w:pPr>
              <w:spacing w:before="60" w:after="60"/>
            </w:pPr>
            <w:r>
              <w:t>The policy in chunks, a worked example and a one-page rule summary</w:t>
            </w:r>
          </w:p>
        </w:tc>
        <w:tc>
          <w:tcPr>
            <w:tcW w:type="dxa" w:w="2721"/>
            <w:shd w:val="clear" w:color="auto" w:fill="F7F0FB"/>
          </w:tcPr>
          <w:p>
            <w:pPr>
              <w:spacing w:before="60" w:after="60"/>
            </w:pPr>
            <w:r>
              <w:t>The open case with account history, then comparing decisions with a colleague and reflecting</w:t>
            </w:r>
          </w:p>
        </w:tc>
      </w:tr>
      <w:tr>
        <w:trPr>
          <w:cantSplit w:val="true"/>
        </w:trPr>
        <w:tc>
          <w:tcPr>
            <w:tcW w:type="dxa" w:w="1814"/>
          </w:tcPr>
          <w:p>
            <w:pPr>
              <w:spacing w:before="60" w:after="60"/>
            </w:pPr>
            <w:r>
              <w:rPr>
                <w:b/>
              </w:rPr>
              <w:t>Assessment</w:t>
            </w:r>
          </w:p>
        </w:tc>
        <w:tc>
          <w:tcPr>
            <w:tcW w:type="dxa" w:w="2494"/>
          </w:tcPr>
          <w:p>
            <w:pPr>
              <w:spacing w:before="60" w:after="60"/>
            </w:pPr>
            <w:r>
              <w:t>Right or wrong rounds against a mastery standard</w:t>
            </w:r>
          </w:p>
        </w:tc>
        <w:tc>
          <w:tcPr>
            <w:tcW w:type="dxa" w:w="2608"/>
          </w:tcPr>
          <w:p>
            <w:pPr>
              <w:spacing w:before="60" w:after="60"/>
            </w:pPr>
            <w:r>
              <w:t>New standard cases, decided and justified by the rule</w:t>
            </w:r>
          </w:p>
        </w:tc>
        <w:tc>
          <w:tcPr>
            <w:tcW w:type="dxa" w:w="2721"/>
          </w:tcPr>
          <w:p>
            <w:pPr>
              <w:spacing w:before="60" w:after="60"/>
            </w:pPr>
            <w:r>
              <w:t>A new unusual case, judged against set criteria by a team leader</w:t>
            </w:r>
          </w:p>
        </w:tc>
      </w:tr>
      <w:tr>
        <w:trPr>
          <w:cantSplit w:val="true"/>
        </w:trPr>
        <w:tc>
          <w:tcPr>
            <w:tcW w:type="dxa" w:w="1814"/>
            <w:shd w:val="clear" w:color="auto" w:fill="F7F0FB"/>
          </w:tcPr>
          <w:p>
            <w:pPr>
              <w:spacing w:before="60" w:after="60"/>
            </w:pPr>
            <w:r>
              <w:rPr>
                <w:b/>
              </w:rPr>
              <w:t>Feedback</w:t>
            </w:r>
          </w:p>
        </w:tc>
        <w:tc>
          <w:tcPr>
            <w:tcW w:type="dxa" w:w="2494"/>
            <w:shd w:val="clear" w:color="auto" w:fill="F7F0FB"/>
          </w:tcPr>
          <w:p>
            <w:pPr>
              <w:spacing w:before="60" w:after="60"/>
            </w:pPr>
            <w:r>
              <w:t>Immediate right or wrong after each answer</w:t>
            </w:r>
          </w:p>
        </w:tc>
        <w:tc>
          <w:tcPr>
            <w:tcW w:type="dxa" w:w="2608"/>
            <w:shd w:val="clear" w:color="auto" w:fill="F7F0FB"/>
          </w:tcPr>
          <w:p>
            <w:pPr>
              <w:spacing w:before="60" w:after="60"/>
            </w:pPr>
            <w:r>
              <w:t>Why the decision fits or breaks the rule</w:t>
            </w:r>
          </w:p>
        </w:tc>
        <w:tc>
          <w:tcPr>
            <w:tcW w:type="dxa" w:w="2721"/>
            <w:shd w:val="clear" w:color="auto" w:fill="F7F0FB"/>
          </w:tcPr>
          <w:p>
            <w:pPr>
              <w:spacing w:before="60" w:after="60"/>
            </w:pPr>
            <w:r>
              <w:t>How the two decisions differ, plus a team leader's comments</w:t>
            </w:r>
          </w:p>
        </w:tc>
      </w:tr>
      <w:tr>
        <w:trPr>
          <w:cantSplit w:val="true"/>
        </w:trPr>
        <w:tc>
          <w:tcPr>
            <w:tcW w:type="dxa" w:w="1814"/>
          </w:tcPr>
          <w:p>
            <w:pPr>
              <w:spacing w:before="60" w:after="60"/>
            </w:pPr>
            <w:r>
              <w:rPr>
                <w:b/>
              </w:rPr>
              <w:t>Where it falls short</w:t>
            </w:r>
          </w:p>
        </w:tc>
        <w:tc>
          <w:tcPr>
            <w:tcW w:type="dxa" w:w="2494"/>
          </w:tcPr>
          <w:p>
            <w:pPr>
              <w:spacing w:before="60" w:after="60"/>
            </w:pPr>
            <w:r>
              <w:t>Says nothing about cases outside the routine</w:t>
            </w:r>
          </w:p>
        </w:tc>
        <w:tc>
          <w:tcPr>
            <w:tcW w:type="dxa" w:w="2608"/>
          </w:tcPr>
          <w:p>
            <w:pPr>
              <w:spacing w:before="60" w:after="60"/>
            </w:pPr>
            <w:r>
              <w:t>Little help when rules conflict</w:t>
            </w:r>
          </w:p>
        </w:tc>
        <w:tc>
          <w:tcPr>
            <w:tcW w:type="dxa" w:w="2721"/>
          </w:tcPr>
          <w:p>
            <w:pPr>
              <w:spacing w:before="60" w:after="60"/>
            </w:pPr>
            <w:r>
              <w:t>Guesswork for agents who do not yet know the policy</w:t>
            </w:r>
          </w:p>
        </w:tc>
      </w:tr>
    </w:tbl>
    <w:p>
      <w:pPr>
        <w:keepNext/>
        <w:spacing w:before="240" w:after="80"/>
      </w:pPr>
      <w:r>
        <w:rPr>
          <w:b/>
          <w:color w:val="5D008F"/>
          <w:sz w:val="28"/>
        </w:rPr>
        <w:t>3. Worked example: decide the mix</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
              <w:rPr>
                <w:b/>
                <w:color w:val="FFFFFF"/>
              </w:rPr>
              <w:t>Part of the task</w:t>
            </w:r>
          </w:p>
        </w:tc>
        <w:tc>
          <w:tcPr>
            <w:tcW w:type="dxa" w:w="2154"/>
            <w:shd w:val="clear" w:color="auto" w:fill="5D008F"/>
          </w:tcPr>
          <w:p>
            <w:pPr>
              <w:spacing w:before="60" w:after="60"/>
            </w:pPr>
            <w:r/>
            <w:r>
              <w:rPr>
                <w:b/>
                <w:color w:val="FFFFFF"/>
              </w:rPr>
              <w:t>Approach</w:t>
            </w:r>
          </w:p>
        </w:tc>
        <w:tc>
          <w:tcPr>
            <w:tcW w:type="dxa" w:w="4876"/>
            <w:shd w:val="clear" w:color="auto" w:fill="5D008F"/>
          </w:tcPr>
          <w:p>
            <w:pPr>
              <w:spacing w:before="60" w:after="60"/>
            </w:pPr>
            <w:r/>
            <w:r>
              <w:rPr>
                <w:b/>
                <w:color w:val="FFFFFF"/>
              </w:rPr>
              <w:t>Why</w:t>
            </w:r>
          </w:p>
        </w:tc>
      </w:tr>
      <w:tr>
        <w:trPr>
          <w:cantSplit w:val="true"/>
        </w:trPr>
        <w:tc>
          <w:tcPr>
            <w:tcW w:type="dxa" w:w="2608"/>
          </w:tcPr>
          <w:p>
            <w:pPr>
              <w:spacing w:before="60" w:after="60"/>
            </w:pPr>
            <w:r>
              <w:rPr>
                <w:b/>
              </w:rPr>
              <w:t>Logging the request in the CRM</w:t>
            </w:r>
          </w:p>
        </w:tc>
        <w:tc>
          <w:tcPr>
            <w:tcW w:type="dxa" w:w="2154"/>
          </w:tcPr>
          <w:p>
            <w:pPr>
              <w:spacing w:before="60" w:after="60"/>
            </w:pPr>
            <w:r>
              <w:t>Behaviorist drill</w:t>
            </w:r>
          </w:p>
        </w:tc>
        <w:tc>
          <w:tcPr>
            <w:tcW w:type="dxa" w:w="4876"/>
          </w:tcPr>
          <w:p>
            <w:pPr>
              <w:spacing w:before="60" w:after="60"/>
            </w:pPr>
            <w:r>
              <w:t>A fixed routine with one correct answer, new to every agent</w:t>
            </w:r>
          </w:p>
        </w:tc>
      </w:tr>
      <w:tr>
        <w:trPr>
          <w:cantSplit w:val="true"/>
        </w:trPr>
        <w:tc>
          <w:tcPr>
            <w:tcW w:type="dxa" w:w="2608"/>
            <w:shd w:val="clear" w:color="auto" w:fill="F7F0FB"/>
          </w:tcPr>
          <w:p>
            <w:pPr>
              <w:spacing w:before="60" w:after="60"/>
            </w:pPr>
            <w:r>
              <w:rPr>
                <w:b/>
              </w:rPr>
              <w:t>Deciding a standard refund</w:t>
            </w:r>
          </w:p>
        </w:tc>
        <w:tc>
          <w:tcPr>
            <w:tcW w:type="dxa" w:w="2154"/>
            <w:shd w:val="clear" w:color="auto" w:fill="F7F0FB"/>
          </w:tcPr>
          <w:p>
            <w:pPr>
              <w:spacing w:before="60" w:after="60"/>
            </w:pPr>
            <w:r>
              <w:t>Cognitivist explanation</w:t>
            </w:r>
          </w:p>
        </w:tc>
        <w:tc>
          <w:tcPr>
            <w:tcW w:type="dxa" w:w="4876"/>
            <w:shd w:val="clear" w:color="auto" w:fill="F7F0FB"/>
          </w:tcPr>
          <w:p>
            <w:pPr>
              <w:spacing w:before="60" w:after="60"/>
            </w:pPr>
            <w:r>
              <w:t>Defined rules applied to cases the agent has not seen before</w:t>
            </w:r>
          </w:p>
        </w:tc>
      </w:tr>
      <w:tr>
        <w:trPr>
          <w:cantSplit w:val="true"/>
        </w:trPr>
        <w:tc>
          <w:tcPr>
            <w:tcW w:type="dxa" w:w="2608"/>
          </w:tcPr>
          <w:p>
            <w:pPr>
              <w:spacing w:before="60" w:after="60"/>
            </w:pPr>
            <w:r>
              <w:rPr>
                <w:b/>
              </w:rPr>
              <w:t>Handling the double-billing case</w:t>
            </w:r>
          </w:p>
        </w:tc>
        <w:tc>
          <w:tcPr>
            <w:tcW w:type="dxa" w:w="2154"/>
          </w:tcPr>
          <w:p>
            <w:pPr>
              <w:spacing w:before="60" w:after="60"/>
            </w:pPr>
            <w:r>
              <w:t>Constructivist case, with guidance</w:t>
            </w:r>
          </w:p>
        </w:tc>
        <w:tc>
          <w:tcPr>
            <w:tcW w:type="dxa" w:w="4876"/>
          </w:tcPr>
          <w:p>
            <w:pPr>
              <w:spacing w:before="60" w:after="60"/>
            </w:pPr>
            <w:r>
              <w:t>No single right answer; taught last, once agents know the policy and the CRM</w:t>
            </w:r>
          </w:p>
        </w:tc>
      </w:tr>
    </w:tbl>
    <w:p>
      <w:pPr>
        <w:keepNext/>
        <w:pageBreakBefore/>
        <w:spacing w:before="240" w:after="80"/>
      </w:pPr>
      <w:r>
        <w:rPr>
          <w:b/>
          <w:color w:val="5D008F"/>
          <w:sz w:val="28"/>
        </w:rPr>
        <w:t>4. Your task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Field</w:t>
            </w:r>
          </w:p>
        </w:tc>
        <w:tc>
          <w:tcPr>
            <w:tcW w:type="dxa" w:w="7257"/>
            <w:shd w:val="clear" w:color="auto" w:fill="5D008F"/>
          </w:tcPr>
          <w:p>
            <w:pPr>
              <w:spacing w:before="60" w:after="60"/>
            </w:pPr>
            <w:r/>
            <w:r>
              <w:rPr>
                <w:b/>
                <w:color w:val="FFFFFF"/>
              </w:rPr>
              <w:t>Your task</w:t>
            </w:r>
          </w:p>
        </w:tc>
      </w:tr>
      <w:tr>
        <w:trPr>
          <w:cantSplit w:val="true"/>
          <w:trHeight w:val="1701"/>
        </w:trPr>
        <w:tc>
          <w:tcPr>
            <w:tcW w:type="dxa" w:w="2381"/>
          </w:tcPr>
          <w:p>
            <w:pPr>
              <w:spacing w:before="60" w:after="60"/>
            </w:pPr>
            <w:r>
              <w:rPr>
                <w:b/>
              </w:rPr>
              <w:t>Learners</w:t>
            </w:r>
          </w:p>
        </w:tc>
        <w:tc>
          <w:tcPr>
            <w:tcW w:type="dxa" w:w="7257"/>
          </w:tcPr>
          <w:p>
            <w:pPr>
              <w:spacing w:before="60" w:after="60"/>
            </w:pPr>
            <w:r/>
          </w:p>
        </w:tc>
      </w:tr>
      <w:tr>
        <w:trPr>
          <w:cantSplit w:val="true"/>
          <w:trHeight w:val="1701"/>
        </w:trPr>
        <w:tc>
          <w:tcPr>
            <w:tcW w:type="dxa" w:w="2381"/>
            <w:shd w:val="clear" w:color="auto" w:fill="F7F0FB"/>
          </w:tcPr>
          <w:p>
            <w:pPr>
              <w:spacing w:before="60" w:after="60"/>
            </w:pPr>
            <w:r>
              <w:rPr>
                <w:b/>
              </w:rPr>
              <w:t>Setting</w:t>
            </w:r>
          </w:p>
        </w:tc>
        <w:tc>
          <w:tcPr>
            <w:tcW w:type="dxa" w:w="7257"/>
            <w:shd w:val="clear" w:color="auto" w:fill="F7F0FB"/>
          </w:tcPr>
          <w:p>
            <w:pPr>
              <w:spacing w:before="60" w:after="60"/>
            </w:pPr>
            <w:r/>
          </w:p>
        </w:tc>
      </w:tr>
      <w:tr>
        <w:trPr>
          <w:cantSplit w:val="true"/>
          <w:trHeight w:val="1701"/>
        </w:trPr>
        <w:tc>
          <w:tcPr>
            <w:tcW w:type="dxa" w:w="2381"/>
          </w:tcPr>
          <w:p>
            <w:pPr>
              <w:spacing w:before="60" w:after="60"/>
            </w:pPr>
            <w:r>
              <w:rPr>
                <w:b/>
              </w:rPr>
              <w:t>Task</w:t>
            </w:r>
          </w:p>
        </w:tc>
        <w:tc>
          <w:tcPr>
            <w:tcW w:type="dxa" w:w="7257"/>
          </w:tcPr>
          <w:p>
            <w:pPr>
              <w:spacing w:before="60" w:after="60"/>
            </w:pPr>
            <w:r/>
          </w:p>
        </w:tc>
      </w:tr>
      <w:tr>
        <w:trPr>
          <w:cantSplit w:val="true"/>
          <w:trHeight w:val="1701"/>
        </w:trPr>
        <w:tc>
          <w:tcPr>
            <w:tcW w:type="dxa" w:w="2381"/>
            <w:shd w:val="clear" w:color="auto" w:fill="F7F0FB"/>
          </w:tcPr>
          <w:p>
            <w:pPr>
              <w:spacing w:before="60" w:after="60"/>
            </w:pPr>
            <w:r>
              <w:rPr>
                <w:b/>
              </w:rPr>
              <w:t>Problem</w:t>
            </w:r>
          </w:p>
        </w:tc>
        <w:tc>
          <w:tcPr>
            <w:tcW w:type="dxa" w:w="7257"/>
            <w:shd w:val="clear" w:color="auto" w:fill="F7F0FB"/>
          </w:tcPr>
          <w:p>
            <w:pPr>
              <w:spacing w:before="60" w:after="60"/>
            </w:pPr>
            <w:r/>
          </w:p>
        </w:tc>
      </w:tr>
      <w:tr>
        <w:trPr>
          <w:cantSplit w:val="true"/>
          <w:trHeight w:val="1701"/>
        </w:trPr>
        <w:tc>
          <w:tcPr>
            <w:tcW w:type="dxa" w:w="2381"/>
          </w:tcPr>
          <w:p>
            <w:pPr>
              <w:spacing w:before="60" w:after="60"/>
            </w:pPr>
            <w:r>
              <w:rPr>
                <w:b/>
              </w:rPr>
              <w:t>Intended outcome</w:t>
            </w:r>
          </w:p>
        </w:tc>
        <w:tc>
          <w:tcPr>
            <w:tcW w:type="dxa" w:w="7257"/>
          </w:tcPr>
          <w:p>
            <w:pPr>
              <w:spacing w:before="60" w:after="60"/>
            </w:pPr>
            <w:r/>
          </w:p>
        </w:tc>
      </w:tr>
      <w:tr>
        <w:trPr>
          <w:cantSplit w:val="true"/>
          <w:trHeight w:val="1701"/>
        </w:trPr>
        <w:tc>
          <w:tcPr>
            <w:tcW w:type="dxa" w:w="2381"/>
            <w:shd w:val="clear" w:color="auto" w:fill="F7F0FB"/>
          </w:tcPr>
          <w:p>
            <w:pPr>
              <w:spacing w:before="60" w:after="60"/>
            </w:pPr>
            <w:r>
              <w:rPr>
                <w:b/>
              </w:rPr>
              <w:t>Information learners need</w:t>
            </w:r>
          </w:p>
        </w:tc>
        <w:tc>
          <w:tcPr>
            <w:tcW w:type="dxa" w:w="7257"/>
            <w:shd w:val="clear" w:color="auto" w:fill="F7F0FB"/>
          </w:tcPr>
          <w:p>
            <w:pPr>
              <w:spacing w:before="60" w:after="60"/>
            </w:pPr>
            <w:r/>
          </w:p>
        </w:tc>
      </w:tr>
    </w:tbl>
    <w:p>
      <w:pPr>
        <w:keepNext/>
        <w:pageBreakBefore/>
        <w:spacing w:before="240" w:after="80"/>
      </w:pPr>
      <w:r>
        <w:rPr>
          <w:b/>
          <w:color w:val="5D008F"/>
          <w:sz w:val="28"/>
        </w:rPr>
        <w:t>5. Your task designed three ways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814"/>
            <w:shd w:val="clear" w:color="auto" w:fill="5D008F"/>
          </w:tcPr>
          <w:p>
            <w:pPr>
              <w:spacing w:before="60" w:after="60"/>
            </w:pPr>
            <w:r/>
            <w:r>
              <w:rPr>
                <w:b/>
                <w:color w:val="FFFFFF"/>
              </w:rPr>
              <w:t>Design element</w:t>
            </w:r>
          </w:p>
        </w:tc>
        <w:tc>
          <w:tcPr>
            <w:tcW w:type="dxa" w:w="2494"/>
            <w:shd w:val="clear" w:color="auto" w:fill="5D008F"/>
          </w:tcPr>
          <w:p>
            <w:pPr>
              <w:spacing w:before="60" w:after="60"/>
            </w:pPr>
            <w:r/>
            <w:r>
              <w:rPr>
                <w:b/>
                <w:color w:val="FFFFFF"/>
              </w:rPr>
              <w:t>Behaviorist version</w:t>
            </w:r>
          </w:p>
        </w:tc>
        <w:tc>
          <w:tcPr>
            <w:tcW w:type="dxa" w:w="2608"/>
            <w:shd w:val="clear" w:color="auto" w:fill="5D008F"/>
          </w:tcPr>
          <w:p>
            <w:pPr>
              <w:spacing w:before="60" w:after="60"/>
            </w:pPr>
            <w:r/>
            <w:r>
              <w:rPr>
                <w:b/>
                <w:color w:val="FFFFFF"/>
              </w:rPr>
              <w:t>Cognitivist version</w:t>
            </w:r>
          </w:p>
        </w:tc>
        <w:tc>
          <w:tcPr>
            <w:tcW w:type="dxa" w:w="2721"/>
            <w:shd w:val="clear" w:color="auto" w:fill="5D008F"/>
          </w:tcPr>
          <w:p>
            <w:pPr>
              <w:spacing w:before="60" w:after="60"/>
            </w:pPr>
            <w:r/>
            <w:r>
              <w:rPr>
                <w:b/>
                <w:color w:val="FFFFFF"/>
              </w:rPr>
              <w:t>Constructivist version</w:t>
            </w:r>
          </w:p>
        </w:tc>
      </w:tr>
      <w:tr>
        <w:trPr>
          <w:cantSplit w:val="true"/>
          <w:trHeight w:val="1814"/>
        </w:trPr>
        <w:tc>
          <w:tcPr>
            <w:tcW w:type="dxa" w:w="1814"/>
          </w:tcPr>
          <w:p>
            <w:pPr>
              <w:spacing w:before="60" w:after="60"/>
            </w:pPr>
            <w:r>
              <w:rPr>
                <w:b/>
              </w:rPr>
              <w:t>Goal</w:t>
            </w:r>
          </w:p>
        </w:tc>
        <w:tc>
          <w:tcPr>
            <w:tcW w:type="dxa" w:w="2494"/>
          </w:tcPr>
          <w:p>
            <w:pPr>
              <w:spacing w:before="60" w:after="60"/>
            </w:pPr>
            <w:r/>
          </w:p>
        </w:tc>
        <w:tc>
          <w:tcPr>
            <w:tcW w:type="dxa" w:w="2608"/>
          </w:tcPr>
          <w:p>
            <w:pPr>
              <w:spacing w:before="60" w:after="60"/>
            </w:pPr>
            <w:r/>
          </w:p>
        </w:tc>
        <w:tc>
          <w:tcPr>
            <w:tcW w:type="dxa" w:w="2721"/>
          </w:tcPr>
          <w:p>
            <w:pPr>
              <w:spacing w:before="60" w:after="60"/>
            </w:pPr>
            <w:r/>
          </w:p>
        </w:tc>
      </w:tr>
      <w:tr>
        <w:trPr>
          <w:cantSplit w:val="true"/>
          <w:trHeight w:val="1814"/>
        </w:trPr>
        <w:tc>
          <w:tcPr>
            <w:tcW w:type="dxa" w:w="1814"/>
            <w:shd w:val="clear" w:color="auto" w:fill="F7F0FB"/>
          </w:tcPr>
          <w:p>
            <w:pPr>
              <w:spacing w:before="60" w:after="60"/>
            </w:pPr>
            <w:r>
              <w:rPr>
                <w:b/>
              </w:rPr>
              <w:t>Activity</w:t>
            </w:r>
          </w:p>
        </w:tc>
        <w:tc>
          <w:tcPr>
            <w:tcW w:type="dxa" w:w="2494"/>
            <w:shd w:val="clear" w:color="auto" w:fill="F7F0FB"/>
          </w:tcPr>
          <w:p>
            <w:pPr>
              <w:spacing w:before="60" w:after="60"/>
            </w:pPr>
            <w:r/>
          </w:p>
        </w:tc>
        <w:tc>
          <w:tcPr>
            <w:tcW w:type="dxa" w:w="2608"/>
            <w:shd w:val="clear" w:color="auto" w:fill="F7F0FB"/>
          </w:tcPr>
          <w:p>
            <w:pPr>
              <w:spacing w:before="60" w:after="60"/>
            </w:pPr>
            <w:r/>
          </w:p>
        </w:tc>
        <w:tc>
          <w:tcPr>
            <w:tcW w:type="dxa" w:w="2721"/>
            <w:shd w:val="clear" w:color="auto" w:fill="F7F0FB"/>
          </w:tcPr>
          <w:p>
            <w:pPr>
              <w:spacing w:before="60" w:after="60"/>
            </w:pPr>
            <w:r/>
          </w:p>
        </w:tc>
      </w:tr>
      <w:tr>
        <w:trPr>
          <w:cantSplit w:val="true"/>
          <w:trHeight w:val="1814"/>
        </w:trPr>
        <w:tc>
          <w:tcPr>
            <w:tcW w:type="dxa" w:w="1814"/>
          </w:tcPr>
          <w:p>
            <w:pPr>
              <w:spacing w:before="60" w:after="60"/>
            </w:pPr>
            <w:r>
              <w:rPr>
                <w:b/>
              </w:rPr>
              <w:t>Assessment</w:t>
            </w:r>
          </w:p>
        </w:tc>
        <w:tc>
          <w:tcPr>
            <w:tcW w:type="dxa" w:w="2494"/>
          </w:tcPr>
          <w:p>
            <w:pPr>
              <w:spacing w:before="60" w:after="60"/>
            </w:pPr>
            <w:r/>
          </w:p>
        </w:tc>
        <w:tc>
          <w:tcPr>
            <w:tcW w:type="dxa" w:w="2608"/>
          </w:tcPr>
          <w:p>
            <w:pPr>
              <w:spacing w:before="60" w:after="60"/>
            </w:pPr>
            <w:r/>
          </w:p>
        </w:tc>
        <w:tc>
          <w:tcPr>
            <w:tcW w:type="dxa" w:w="2721"/>
          </w:tcPr>
          <w:p>
            <w:pPr>
              <w:spacing w:before="60" w:after="60"/>
            </w:pPr>
            <w:r/>
          </w:p>
        </w:tc>
      </w:tr>
      <w:tr>
        <w:trPr>
          <w:cantSplit w:val="true"/>
          <w:trHeight w:val="1814"/>
        </w:trPr>
        <w:tc>
          <w:tcPr>
            <w:tcW w:type="dxa" w:w="1814"/>
            <w:shd w:val="clear" w:color="auto" w:fill="F7F0FB"/>
          </w:tcPr>
          <w:p>
            <w:pPr>
              <w:spacing w:before="60" w:after="60"/>
            </w:pPr>
            <w:r>
              <w:rPr>
                <w:b/>
              </w:rPr>
              <w:t>Feedback</w:t>
            </w:r>
          </w:p>
        </w:tc>
        <w:tc>
          <w:tcPr>
            <w:tcW w:type="dxa" w:w="2494"/>
            <w:shd w:val="clear" w:color="auto" w:fill="F7F0FB"/>
          </w:tcPr>
          <w:p>
            <w:pPr>
              <w:spacing w:before="60" w:after="60"/>
            </w:pPr>
            <w:r/>
          </w:p>
        </w:tc>
        <w:tc>
          <w:tcPr>
            <w:tcW w:type="dxa" w:w="2608"/>
            <w:shd w:val="clear" w:color="auto" w:fill="F7F0FB"/>
          </w:tcPr>
          <w:p>
            <w:pPr>
              <w:spacing w:before="60" w:after="60"/>
            </w:pPr>
            <w:r/>
          </w:p>
        </w:tc>
        <w:tc>
          <w:tcPr>
            <w:tcW w:type="dxa" w:w="2721"/>
            <w:shd w:val="clear" w:color="auto" w:fill="F7F0FB"/>
          </w:tcPr>
          <w:p>
            <w:pPr>
              <w:spacing w:before="60" w:after="60"/>
            </w:pPr>
            <w:r/>
          </w:p>
        </w:tc>
      </w:tr>
      <w:tr>
        <w:trPr>
          <w:cantSplit w:val="true"/>
          <w:trHeight w:val="1814"/>
        </w:trPr>
        <w:tc>
          <w:tcPr>
            <w:tcW w:type="dxa" w:w="1814"/>
          </w:tcPr>
          <w:p>
            <w:pPr>
              <w:spacing w:before="60" w:after="60"/>
            </w:pPr>
            <w:r>
              <w:rPr>
                <w:b/>
              </w:rPr>
              <w:t>Where it falls short</w:t>
            </w:r>
          </w:p>
        </w:tc>
        <w:tc>
          <w:tcPr>
            <w:tcW w:type="dxa" w:w="2494"/>
          </w:tcPr>
          <w:p>
            <w:pPr>
              <w:spacing w:before="60" w:after="60"/>
            </w:pPr>
            <w:r/>
          </w:p>
        </w:tc>
        <w:tc>
          <w:tcPr>
            <w:tcW w:type="dxa" w:w="2608"/>
          </w:tcPr>
          <w:p>
            <w:pPr>
              <w:spacing w:before="60" w:after="60"/>
            </w:pPr>
            <w:r/>
          </w:p>
        </w:tc>
        <w:tc>
          <w:tcPr>
            <w:tcW w:type="dxa" w:w="2721"/>
          </w:tcPr>
          <w:p>
            <w:pPr>
              <w:spacing w:before="60" w:after="60"/>
            </w:pPr>
            <w:r/>
          </w:p>
        </w:tc>
      </w:tr>
    </w:tbl>
    <w:p>
      <w:pPr>
        <w:keepNext/>
        <w:pageBreakBefore/>
        <w:spacing w:before="240" w:after="80"/>
      </w:pPr>
      <w:r>
        <w:rPr>
          <w:b/>
          <w:color w:val="5D008F"/>
          <w:sz w:val="28"/>
        </w:rPr>
        <w:t>6. Decide your mix</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
              <w:rPr>
                <w:b/>
                <w:color w:val="FFFFFF"/>
              </w:rPr>
              <w:t>Part of the task</w:t>
            </w:r>
          </w:p>
        </w:tc>
        <w:tc>
          <w:tcPr>
            <w:tcW w:type="dxa" w:w="2154"/>
            <w:shd w:val="clear" w:color="auto" w:fill="5D008F"/>
          </w:tcPr>
          <w:p>
            <w:pPr>
              <w:spacing w:before="60" w:after="60"/>
            </w:pPr>
            <w:r/>
            <w:r>
              <w:rPr>
                <w:b/>
                <w:color w:val="FFFFFF"/>
              </w:rPr>
              <w:t>Approach</w:t>
            </w:r>
          </w:p>
        </w:tc>
        <w:tc>
          <w:tcPr>
            <w:tcW w:type="dxa" w:w="4876"/>
            <w:shd w:val="clear" w:color="auto" w:fill="5D008F"/>
          </w:tcPr>
          <w:p>
            <w:pPr>
              <w:spacing w:before="60" w:after="60"/>
            </w:pPr>
            <w:r/>
            <w:r>
              <w:rPr>
                <w:b/>
                <w:color w:val="FFFFFF"/>
              </w:rPr>
              <w:t>Why</w:t>
            </w:r>
          </w:p>
        </w:tc>
      </w:tr>
      <w:tr>
        <w:trPr>
          <w:cantSplit w:val="true"/>
          <w:trHeight w:val="1701"/>
        </w:trPr>
        <w:tc>
          <w:tcPr>
            <w:tcW w:type="dxa" w:w="2608"/>
          </w:tcPr>
          <w:p>
            <w:pPr>
              <w:spacing w:before="60" w:after="60"/>
            </w:pPr>
            <w:r>
              <w:rPr>
                <w:b/>
              </w:rPr>
            </w:r>
          </w:p>
        </w:tc>
        <w:tc>
          <w:tcPr>
            <w:tcW w:type="dxa" w:w="2154"/>
          </w:tcPr>
          <w:p>
            <w:pPr>
              <w:spacing w:before="60" w:after="60"/>
            </w:pPr>
            <w:r/>
          </w:p>
        </w:tc>
        <w:tc>
          <w:tcPr>
            <w:tcW w:type="dxa" w:w="4876"/>
          </w:tcPr>
          <w:p>
            <w:pPr>
              <w:spacing w:before="60" w:after="60"/>
            </w:pPr>
            <w:r/>
          </w:p>
        </w:tc>
      </w:tr>
      <w:tr>
        <w:trPr>
          <w:cantSplit w:val="true"/>
          <w:trHeight w:val="1701"/>
        </w:trPr>
        <w:tc>
          <w:tcPr>
            <w:tcW w:type="dxa" w:w="2608"/>
            <w:shd w:val="clear" w:color="auto" w:fill="F7F0FB"/>
          </w:tcPr>
          <w:p>
            <w:pPr>
              <w:spacing w:before="60" w:after="60"/>
            </w:pPr>
            <w:r>
              <w:rPr>
                <w:b/>
              </w:rPr>
            </w:r>
          </w:p>
        </w:tc>
        <w:tc>
          <w:tcPr>
            <w:tcW w:type="dxa" w:w="2154"/>
            <w:shd w:val="clear" w:color="auto" w:fill="F7F0FB"/>
          </w:tcPr>
          <w:p>
            <w:pPr>
              <w:spacing w:before="60" w:after="60"/>
            </w:pPr>
            <w:r/>
          </w:p>
        </w:tc>
        <w:tc>
          <w:tcPr>
            <w:tcW w:type="dxa" w:w="4876"/>
            <w:shd w:val="clear" w:color="auto" w:fill="F7F0FB"/>
          </w:tcPr>
          <w:p>
            <w:pPr>
              <w:spacing w:before="60" w:after="60"/>
            </w:pPr>
            <w:r/>
          </w:p>
        </w:tc>
      </w:tr>
      <w:tr>
        <w:trPr>
          <w:cantSplit w:val="true"/>
          <w:trHeight w:val="1701"/>
        </w:trPr>
        <w:tc>
          <w:tcPr>
            <w:tcW w:type="dxa" w:w="2608"/>
          </w:tcPr>
          <w:p>
            <w:pPr>
              <w:spacing w:before="60" w:after="60"/>
            </w:pPr>
            <w:r>
              <w:rPr>
                <w:b/>
              </w:rPr>
            </w:r>
          </w:p>
        </w:tc>
        <w:tc>
          <w:tcPr>
            <w:tcW w:type="dxa" w:w="2154"/>
          </w:tcPr>
          <w:p>
            <w:pPr>
              <w:spacing w:before="60" w:after="60"/>
            </w:pPr>
            <w:r/>
          </w:p>
        </w:tc>
        <w:tc>
          <w:tcPr>
            <w:tcW w:type="dxa" w:w="4876"/>
          </w:tcPr>
          <w:p>
            <w:pPr>
              <w:spacing w:before="60" w:after="60"/>
            </w:pPr>
            <w:r/>
          </w:p>
        </w:tc>
      </w:tr>
      <w:tr>
        <w:trPr>
          <w:cantSplit w:val="true"/>
          <w:trHeight w:val="1701"/>
        </w:trPr>
        <w:tc>
          <w:tcPr>
            <w:tcW w:type="dxa" w:w="2608"/>
            <w:shd w:val="clear" w:color="auto" w:fill="F7F0FB"/>
          </w:tcPr>
          <w:p>
            <w:pPr>
              <w:spacing w:before="60" w:after="60"/>
            </w:pPr>
            <w:r>
              <w:rPr>
                <w:b/>
              </w:rPr>
            </w:r>
          </w:p>
        </w:tc>
        <w:tc>
          <w:tcPr>
            <w:tcW w:type="dxa" w:w="2154"/>
            <w:shd w:val="clear" w:color="auto" w:fill="F7F0FB"/>
          </w:tcPr>
          <w:p>
            <w:pPr>
              <w:spacing w:before="60" w:after="60"/>
            </w:pPr>
            <w:r/>
          </w:p>
        </w:tc>
        <w:tc>
          <w:tcPr>
            <w:tcW w:type="dxa" w:w="4876"/>
            <w:shd w:val="clear" w:color="auto" w:fill="F7F0FB"/>
          </w:tcPr>
          <w:p>
            <w:pPr>
              <w:spacing w:before="60" w:after="60"/>
            </w:pPr>
            <w:r/>
          </w:p>
        </w:tc>
      </w:tr>
      <w:tr>
        <w:trPr>
          <w:cantSplit w:val="true"/>
          <w:trHeight w:val="1701"/>
        </w:trPr>
        <w:tc>
          <w:tcPr>
            <w:tcW w:type="dxa" w:w="2608"/>
          </w:tcPr>
          <w:p>
            <w:pPr>
              <w:spacing w:before="60" w:after="60"/>
            </w:pPr>
            <w:r>
              <w:rPr>
                <w:b/>
              </w:rPr>
            </w:r>
          </w:p>
        </w:tc>
        <w:tc>
          <w:tcPr>
            <w:tcW w:type="dxa" w:w="2154"/>
          </w:tcPr>
          <w:p>
            <w:pPr>
              <w:spacing w:before="60" w:after="60"/>
            </w:pPr>
            <w:r/>
          </w:p>
        </w:tc>
        <w:tc>
          <w:tcPr>
            <w:tcW w:type="dxa" w:w="4876"/>
          </w:tcPr>
          <w:p>
            <w:pPr>
              <w:spacing w:before="60" w:after="60"/>
            </w:pPr>
            <w:r/>
          </w:p>
        </w:tc>
      </w:tr>
    </w:tbl>
    <w:p>
      <w:pPr>
        <w:spacing w:before="160"/>
      </w:pPr>
      <w:r>
        <w:rPr>
          <w:i/>
          <w:color w:val="5A5766"/>
        </w:rPr>
        <w:t>Adapted from Ertmer, P. A. and Newby, T. J., Behaviorism, Cognitivism, Constructivism: Comparing Critical Features From an Instructional Design Perspective, Performance Improvement Quarterly 6(4), 1993, reprinted with an update in 26(2), 2013. A design aid, not a validated instrument. The refund course and the field names are Coursebox's own.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