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Self-Efficacy and Goal Worksheet</w:t>
      </w:r>
    </w:p>
    <w:p>
      <w:r>
        <w:rPr>
          <w:color w:val="5A5766"/>
          <w:sz w:val="22"/>
        </w:rPr>
        <w:t>Rate how sure you are that you can handle each version of a task, set one goal for your next real attempt, then rate yourself afterwards. Adapted from the item-writing rules in Bandura's 2006 guide for constructing self-efficacy scales and his account of self-regulation. A planning and reflection aid, not a validated scale: no total on this sheet certifies that anyone can do the task. The cash-count conversation is filled in.</w:t>
      </w:r>
    </w:p>
    <w:p>
      <w:r>
        <w:rPr>
          <w:i/>
          <w:color w:val="5A5766"/>
          <w:sz w:val="18"/>
        </w:rPr>
        <w:t>From the Coursebox blog: coursebox.ai/blog/a-complete-guide-to-the-social-cognitive-theory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use this worksheet</w:t>
      </w:r>
    </w:p>
    <w:p>
      <w:pPr>
        <w:pStyle w:val="ListBullet"/>
      </w:pPr>
      <w:r>
        <w:t>Name one specific task. A broad label such as "giving feedback" is too general to rate.</w:t>
      </w:r>
    </w:p>
    <w:p>
      <w:pPr>
        <w:pStyle w:val="ListBullet"/>
      </w:pPr>
      <w:r>
        <w:t>Write three to five versions of the task, from easier to harder, each starting with "I can". Ask what someone can do, not what they will do.</w:t>
      </w:r>
    </w:p>
    <w:p>
      <w:pPr>
        <w:pStyle w:val="ListBullet"/>
      </w:pPr>
      <w:r>
        <w:t>Before practice, rate each version from 0 (cannot do it at all) to 100 (completely sure I can do it). Rate again after practice.</w:t>
      </w:r>
    </w:p>
    <w:p>
      <w:pPr>
        <w:pStyle w:val="ListBullet"/>
      </w:pPr>
      <w:r>
        <w:t>Set one goal for the next real attempt, then rate how it went against the steps of the task.</w:t>
      </w:r>
    </w:p>
    <w:p>
      <w:pPr>
        <w:pStyle w:val="ListBullet"/>
      </w:pPr>
      <w:r>
        <w:t>Treat the ratings as belief, not performance. Check what happened at work with an observer or a manager.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1. Worked example: how sure am I that I can do it?</w:t>
      </w:r>
    </w:p>
    <w:p>
      <w:r>
        <w:t>Task (a hypothetical example): a newly promoted retail team leader raises a skipped end-of-day cash count with the team member responsible, using four steps: state the issue clearly; use facts, not assumptions; ask for their view; agree on a next action.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532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Version of the task</w:t>
            </w:r>
          </w:p>
        </w:tc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Before practice (0 to 100)</w:t>
            </w:r>
          </w:p>
        </w:tc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After practice (0 to 100)</w:t>
            </w:r>
          </w:p>
        </w:tc>
      </w:tr>
      <w:tr>
        <w:trPr>
          <w:cantSplit w:val="true"/>
        </w:trPr>
        <w:tc>
          <w:tcPr>
            <w:tcW w:type="dxa" w:w="5329"/>
          </w:tcPr>
          <w:p>
            <w:pPr>
              <w:spacing w:before="60" w:after="60"/>
            </w:pPr>
            <w:r>
              <w:rPr>
                <w:b/>
              </w:rPr>
              <w:t>I can raise a missed cash count with a team member who admits it straight away.</w:t>
            </w:r>
          </w:p>
        </w:tc>
        <w:tc>
          <w:tcPr>
            <w:tcW w:type="dxa" w:w="2154"/>
          </w:tcPr>
          <w:p>
            <w:pPr>
              <w:spacing w:before="60" w:after="60"/>
            </w:pPr>
            <w:r>
              <w:t>70</w:t>
            </w:r>
          </w:p>
        </w:tc>
        <w:tc>
          <w:tcPr>
            <w:tcW w:type="dxa" w:w="2154"/>
          </w:tcPr>
          <w:p>
            <w:pPr>
              <w:spacing w:before="60" w:after="60"/>
            </w:pPr>
            <w:r>
              <w:t>90</w:t>
            </w:r>
          </w:p>
        </w:tc>
      </w:tr>
      <w:tr>
        <w:trPr>
          <w:cantSplit w:val="true"/>
        </w:trPr>
        <w:tc>
          <w:tcPr>
            <w:tcW w:type="dxa" w:w="532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I can raise a missed cash count with a team member who says the count is a waste of time.</w:t>
            </w:r>
          </w:p>
        </w:tc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t>30</w:t>
            </w:r>
          </w:p>
        </w:tc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t>65</w:t>
            </w:r>
          </w:p>
        </w:tc>
      </w:tr>
      <w:tr>
        <w:trPr>
          <w:cantSplit w:val="true"/>
        </w:trPr>
        <w:tc>
          <w:tcPr>
            <w:tcW w:type="dxa" w:w="5329"/>
          </w:tcPr>
          <w:p>
            <w:pPr>
              <w:spacing w:before="60" w:after="60"/>
            </w:pPr>
            <w:r>
              <w:rPr>
                <w:b/>
              </w:rPr>
              <w:t>I can raise a missed cash count at closing time, with customers still in the store.</w:t>
            </w:r>
          </w:p>
        </w:tc>
        <w:tc>
          <w:tcPr>
            <w:tcW w:type="dxa" w:w="2154"/>
          </w:tcPr>
          <w:p>
            <w:pPr>
              <w:spacing w:before="60" w:after="60"/>
            </w:pPr>
            <w:r>
              <w:t>25</w:t>
            </w:r>
          </w:p>
        </w:tc>
        <w:tc>
          <w:tcPr>
            <w:tcW w:type="dxa" w:w="2154"/>
          </w:tcPr>
          <w:p>
            <w:pPr>
              <w:spacing w:before="60" w:after="60"/>
            </w:pPr>
            <w:r>
              <w:t>50</w:t>
            </w:r>
          </w:p>
        </w:tc>
      </w:tr>
      <w:tr>
        <w:trPr>
          <w:cantSplit w:val="true"/>
        </w:trPr>
        <w:tc>
          <w:tcPr>
            <w:tcW w:type="dxa" w:w="532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I can agree on a next action with a team member who has missed the count twice.</w:t>
            </w:r>
          </w:p>
        </w:tc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t>20</w:t>
            </w:r>
          </w:p>
        </w:tc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t>45</w:t>
            </w:r>
          </w:p>
        </w:tc>
      </w:tr>
    </w:tbl>
    <w:p>
      <w:pPr>
        <w:spacing w:before="160"/>
      </w:pPr>
      <w:r>
        <w:t>The lowest ratings point to the practice to add next. In this example, that is the closing-time version.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2. Worked example: goal and self-rating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94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Prompt</w:t>
            </w:r>
          </w:p>
        </w:tc>
        <w:tc>
          <w:tcPr>
            <w:tcW w:type="dxa" w:w="669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Worked example</w:t>
            </w:r>
          </w:p>
        </w:tc>
      </w:tr>
      <w:tr>
        <w:trPr>
          <w:cantSplit w:val="true"/>
        </w:trPr>
        <w:tc>
          <w:tcPr>
            <w:tcW w:type="dxa" w:w="2948"/>
          </w:tcPr>
          <w:p>
            <w:pPr>
              <w:spacing w:before="60" w:after="60"/>
            </w:pPr>
            <w:r>
              <w:rPr>
                <w:b/>
              </w:rPr>
              <w:t>My goal for the next real conversation</w:t>
            </w:r>
          </w:p>
        </w:tc>
        <w:tc>
          <w:tcPr>
            <w:tcW w:type="dxa" w:w="6690"/>
          </w:tcPr>
          <w:p>
            <w:pPr>
              <w:spacing w:before="60" w:after="60"/>
            </w:pPr>
            <w:r>
              <w:t>Ask for the team member's view before I suggest a fix.</w:t>
            </w:r>
          </w:p>
        </w:tc>
      </w:tr>
      <w:tr>
        <w:trPr>
          <w:cantSplit w:val="true"/>
        </w:trPr>
        <w:tc>
          <w:tcPr>
            <w:tcW w:type="dxa" w:w="294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When and where</w:t>
            </w:r>
          </w:p>
        </w:tc>
        <w:tc>
          <w:tcPr>
            <w:tcW w:type="dxa" w:w="6690"/>
            <w:shd w:val="clear" w:color="auto" w:fill="F7F0FB"/>
          </w:tcPr>
          <w:p>
            <w:pPr>
              <w:spacing w:before="60" w:after="60"/>
            </w:pPr>
            <w:r>
              <w:t>At the start of the next shift, in the back office, not at the counter.</w:t>
            </w:r>
          </w:p>
        </w:tc>
      </w:tr>
      <w:tr>
        <w:trPr>
          <w:cantSplit w:val="true"/>
        </w:trPr>
        <w:tc>
          <w:tcPr>
            <w:tcW w:type="dxa" w:w="2948"/>
          </w:tcPr>
          <w:p>
            <w:pPr>
              <w:spacing w:before="60" w:after="60"/>
            </w:pPr>
            <w:r>
              <w:rPr>
                <w:b/>
              </w:rPr>
              <w:t>Step 1: stated the issue clearly</w:t>
            </w:r>
          </w:p>
        </w:tc>
        <w:tc>
          <w:tcPr>
            <w:tcW w:type="dxa" w:w="6690"/>
          </w:tcPr>
          <w:p>
            <w:pPr>
              <w:spacing w:before="60" w:after="60"/>
            </w:pPr>
            <w:r>
              <w:t>Yes. Said the count sheet from Tuesday was not signed off.</w:t>
            </w:r>
          </w:p>
        </w:tc>
      </w:tr>
      <w:tr>
        <w:trPr>
          <w:cantSplit w:val="true"/>
        </w:trPr>
        <w:tc>
          <w:tcPr>
            <w:tcW w:type="dxa" w:w="294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Step 2: used facts, not assumptions</w:t>
            </w:r>
          </w:p>
        </w:tc>
        <w:tc>
          <w:tcPr>
            <w:tcW w:type="dxa" w:w="6690"/>
            <w:shd w:val="clear" w:color="auto" w:fill="F7F0FB"/>
          </w:tcPr>
          <w:p>
            <w:pPr>
              <w:spacing w:before="60" w:after="60"/>
            </w:pPr>
            <w:r>
              <w:t>Mostly. I said "you rushed off" before I knew why.</w:t>
            </w:r>
          </w:p>
        </w:tc>
      </w:tr>
      <w:tr>
        <w:trPr>
          <w:cantSplit w:val="true"/>
        </w:trPr>
        <w:tc>
          <w:tcPr>
            <w:tcW w:type="dxa" w:w="2948"/>
          </w:tcPr>
          <w:p>
            <w:pPr>
              <w:spacing w:before="60" w:after="60"/>
            </w:pPr>
            <w:r>
              <w:rPr>
                <w:b/>
              </w:rPr>
              <w:t>Step 3: asked for their view</w:t>
            </w:r>
          </w:p>
        </w:tc>
        <w:tc>
          <w:tcPr>
            <w:tcW w:type="dxa" w:w="6690"/>
          </w:tcPr>
          <w:p>
            <w:pPr>
              <w:spacing w:before="60" w:after="60"/>
            </w:pPr>
            <w:r>
              <w:t>Yes. They had been pulled onto the floor at closing.</w:t>
            </w:r>
          </w:p>
        </w:tc>
      </w:tr>
      <w:tr>
        <w:trPr>
          <w:cantSplit w:val="true"/>
        </w:trPr>
        <w:tc>
          <w:tcPr>
            <w:tcW w:type="dxa" w:w="294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Step 4: agreed on a next action</w:t>
            </w:r>
          </w:p>
        </w:tc>
        <w:tc>
          <w:tcPr>
            <w:tcW w:type="dxa" w:w="6690"/>
            <w:shd w:val="clear" w:color="auto" w:fill="F7F0FB"/>
          </w:tcPr>
          <w:p>
            <w:pPr>
              <w:spacing w:before="60" w:after="60"/>
            </w:pPr>
            <w:r>
              <w:t>Yes. Count before leaving the floor, and tell me if they are delayed.</w:t>
            </w:r>
          </w:p>
        </w:tc>
      </w:tr>
      <w:tr>
        <w:trPr>
          <w:cantSplit w:val="true"/>
        </w:trPr>
        <w:tc>
          <w:tcPr>
            <w:tcW w:type="dxa" w:w="2948"/>
          </w:tcPr>
          <w:p>
            <w:pPr>
              <w:spacing w:before="60" w:after="60"/>
            </w:pPr>
            <w:r>
              <w:rPr>
                <w:b/>
              </w:rPr>
              <w:t>What I will change next time</w:t>
            </w:r>
          </w:p>
        </w:tc>
        <w:tc>
          <w:tcPr>
            <w:tcW w:type="dxa" w:w="6690"/>
          </w:tcPr>
          <w:p>
            <w:pPr>
              <w:spacing w:before="60" w:after="60"/>
            </w:pPr>
            <w:r>
              <w:t>Describe what I saw before saying anything about why it happened.</w:t>
            </w:r>
          </w:p>
        </w:tc>
      </w:tr>
      <w:tr>
        <w:trPr>
          <w:cantSplit w:val="true"/>
        </w:trPr>
        <w:tc>
          <w:tcPr>
            <w:tcW w:type="dxa" w:w="294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Checked with</w:t>
            </w:r>
          </w:p>
        </w:tc>
        <w:tc>
          <w:tcPr>
            <w:tcW w:type="dxa" w:w="6690"/>
            <w:shd w:val="clear" w:color="auto" w:fill="F7F0FB"/>
          </w:tcPr>
          <w:p>
            <w:pPr>
              <w:spacing w:before="60" w:after="60"/>
            </w:pPr>
            <w:r>
              <w:t>Store manager, at our weekly catch-up.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3. Your task: how sure are you that you can do it?</w:t>
      </w:r>
    </w:p>
    <w:p>
      <w:r>
        <w:t>Task: 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532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Version of the task (I can...)</w:t>
            </w:r>
          </w:p>
        </w:tc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Before practice (0 to 100)</w:t>
            </w:r>
          </w:p>
        </w:tc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After practice (0 to 100)</w:t>
            </w:r>
          </w:p>
        </w:tc>
      </w:tr>
      <w:tr>
        <w:trPr>
          <w:cantSplit w:val="true"/>
          <w:trHeight w:val="1474"/>
        </w:trPr>
        <w:tc>
          <w:tcPr>
            <w:tcW w:type="dxa" w:w="5329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154"/>
          </w:tcPr>
          <w:p>
            <w:pPr>
              <w:spacing w:before="60" w:after="60"/>
            </w:pPr>
            <w:r/>
          </w:p>
        </w:tc>
        <w:tc>
          <w:tcPr>
            <w:tcW w:type="dxa" w:w="215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474"/>
        </w:trPr>
        <w:tc>
          <w:tcPr>
            <w:tcW w:type="dxa" w:w="532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474"/>
        </w:trPr>
        <w:tc>
          <w:tcPr>
            <w:tcW w:type="dxa" w:w="5329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154"/>
          </w:tcPr>
          <w:p>
            <w:pPr>
              <w:spacing w:before="60" w:after="60"/>
            </w:pPr>
            <w:r/>
          </w:p>
        </w:tc>
        <w:tc>
          <w:tcPr>
            <w:tcW w:type="dxa" w:w="215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474"/>
        </w:trPr>
        <w:tc>
          <w:tcPr>
            <w:tcW w:type="dxa" w:w="532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474"/>
        </w:trPr>
        <w:tc>
          <w:tcPr>
            <w:tcW w:type="dxa" w:w="5329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154"/>
          </w:tcPr>
          <w:p>
            <w:pPr>
              <w:spacing w:before="60" w:after="60"/>
            </w:pPr>
            <w:r/>
          </w:p>
        </w:tc>
        <w:tc>
          <w:tcPr>
            <w:tcW w:type="dxa" w:w="2154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4. Your goal and self-rating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94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Prompt</w:t>
            </w:r>
          </w:p>
        </w:tc>
        <w:tc>
          <w:tcPr>
            <w:tcW w:type="dxa" w:w="669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notes</w:t>
            </w:r>
          </w:p>
        </w:tc>
      </w:tr>
      <w:tr>
        <w:trPr>
          <w:cantSplit w:val="true"/>
          <w:trHeight w:val="1077"/>
        </w:trPr>
        <w:tc>
          <w:tcPr>
            <w:tcW w:type="dxa" w:w="2948"/>
          </w:tcPr>
          <w:p>
            <w:pPr>
              <w:spacing w:before="60" w:after="60"/>
            </w:pPr>
            <w:r>
              <w:rPr>
                <w:b/>
              </w:rPr>
              <w:t>My goal for the next real attempt</w:t>
            </w:r>
          </w:p>
        </w:tc>
        <w:tc>
          <w:tcPr>
            <w:tcW w:type="dxa" w:w="6690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94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When and where</w:t>
            </w:r>
          </w:p>
        </w:tc>
        <w:tc>
          <w:tcPr>
            <w:tcW w:type="dxa" w:w="6690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948"/>
          </w:tcPr>
          <w:p>
            <w:pPr>
              <w:spacing w:before="60" w:after="60"/>
            </w:pPr>
            <w:r>
              <w:rPr>
                <w:b/>
              </w:rPr>
              <w:t>Step 1:</w:t>
            </w:r>
          </w:p>
        </w:tc>
        <w:tc>
          <w:tcPr>
            <w:tcW w:type="dxa" w:w="6690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94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Step 2:</w:t>
            </w:r>
          </w:p>
        </w:tc>
        <w:tc>
          <w:tcPr>
            <w:tcW w:type="dxa" w:w="6690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948"/>
          </w:tcPr>
          <w:p>
            <w:pPr>
              <w:spacing w:before="60" w:after="60"/>
            </w:pPr>
            <w:r>
              <w:rPr>
                <w:b/>
              </w:rPr>
              <w:t>Step 3:</w:t>
            </w:r>
          </w:p>
        </w:tc>
        <w:tc>
          <w:tcPr>
            <w:tcW w:type="dxa" w:w="6690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94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Step 4:</w:t>
            </w:r>
          </w:p>
        </w:tc>
        <w:tc>
          <w:tcPr>
            <w:tcW w:type="dxa" w:w="6690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948"/>
          </w:tcPr>
          <w:p>
            <w:pPr>
              <w:spacing w:before="60" w:after="60"/>
            </w:pPr>
            <w:r>
              <w:rPr>
                <w:b/>
              </w:rPr>
              <w:t>What I will change next time</w:t>
            </w:r>
          </w:p>
        </w:tc>
        <w:tc>
          <w:tcPr>
            <w:tcW w:type="dxa" w:w="6690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94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Checked with</w:t>
            </w:r>
          </w:p>
        </w:tc>
        <w:tc>
          <w:tcPr>
            <w:tcW w:type="dxa" w:w="6690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>Adapted from Bandura, A. (2006), Guide for constructing self-efficacy scales, in F. Pajares and T. Urdan (Eds.), Self-efficacy beliefs of adolescents, pp. 307 to 337, and Bandura, A. (1991), Social cognitive theory of self-regulation, Organizational Behavior and Human Decision Processes 50(2), 248 to 287. The ratings are not a validated measure and give no pass mark. The worked example and its ratings are hypothetical.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