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Kemp Model Planning Template</w:t>
      </w:r>
    </w:p>
    <w:p>
      <w:r>
        <w:rPr>
          <w:color w:val="5A5766"/>
          <w:sz w:val="22"/>
        </w:rPr>
        <w:t>Plan a course with the nine elements of the Kemp model, in whatever order your situation needs, with the pharmacy induction example filled in.</w:t>
      </w:r>
    </w:p>
    <w:p>
      <w:r>
        <w:rPr>
          <w:i/>
          <w:color w:val="5A5766"/>
          <w:sz w:val="18"/>
        </w:rPr>
        <w:t>From the Coursebox blog: coursebox.ai/blog/kemp-design-model-for-instructional-design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template</w:t>
      </w:r>
    </w:p>
    <w:p>
      <w:pPr>
        <w:pStyle w:val="ListBullet"/>
      </w:pPr>
      <w:r>
        <w:t>The nine elements have no fixed order. Start where your problem starts, and come back to earlier elements as you learn more.</w:t>
      </w:r>
    </w:p>
    <w:p>
      <w:pPr>
        <w:pStyle w:val="ListBullet"/>
      </w:pPr>
      <w:r>
        <w:t>Use existing evidence where appropriate; record why it is still current before reducing work on an element.</w:t>
      </w:r>
    </w:p>
    <w:p>
      <w:pPr>
        <w:pStyle w:val="ListBullet"/>
      </w:pPr>
      <w:r>
        <w:t>Keep the four fundamentals in view: learners, objectives, methods and evaluation.</w:t>
      </w:r>
    </w:p>
    <w:p>
      <w:pPr>
        <w:pStyle w:val="ListBullet"/>
      </w:pPr>
      <w:r>
        <w:t>Use the second page to track the ongoing processes around the nine elements.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1. The nine elements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Element</w:t>
            </w:r>
          </w:p>
        </w:tc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Question to answer</w:t>
            </w:r>
          </w:p>
        </w:tc>
        <w:tc>
          <w:tcPr>
            <w:tcW w:type="dxa" w:w="294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Pharmacy induction example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plan</w:t>
            </w:r>
          </w:p>
        </w:tc>
      </w:tr>
      <w:tr>
        <w:trPr>
          <w:cantSplit w:val="true"/>
          <w:trHeight w:val="680"/>
        </w:trPr>
        <w:tc>
          <w:tcPr>
            <w:tcW w:type="dxa" w:w="1814"/>
          </w:tcPr>
          <w:p>
            <w:pPr>
              <w:spacing w:before="60" w:after="60"/>
            </w:pPr>
            <w:r>
              <w:rPr>
                <w:b/>
              </w:rPr>
              <w:t>Instructional problems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What performance problem are we solving, and is training the answer?</w:t>
            </w:r>
          </w:p>
        </w:tc>
        <w:tc>
          <w:tcPr>
            <w:tcW w:type="dxa" w:w="2948"/>
          </w:tcPr>
          <w:p>
            <w:pPr>
              <w:spacing w:before="60" w:after="60"/>
            </w:pPr>
            <w:r>
              <w:t>New assistants make dispensing-counter errors in their first month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Learner characteristics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Who are the learners, and what is their context?</w:t>
            </w:r>
          </w:p>
        </w:tc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>
              <w:t>Mix of school leavers and career changers; rostered shifts; learn on the job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1814"/>
          </w:tcPr>
          <w:p>
            <w:pPr>
              <w:spacing w:before="60" w:after="60"/>
            </w:pPr>
            <w:r>
              <w:rPr>
                <w:b/>
              </w:rPr>
              <w:t>Task analysis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What exactly does competent work involve?</w:t>
            </w:r>
          </w:p>
        </w:tc>
        <w:tc>
          <w:tcPr>
            <w:tcW w:type="dxa" w:w="2948"/>
          </w:tcPr>
          <w:p>
            <w:pPr>
              <w:spacing w:before="60" w:after="60"/>
            </w:pPr>
            <w:r>
              <w:t>Watch experienced assistants: greeting, privacy, handing over, when to refer to the pharmacist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Instructional objectives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What must learners be able to do?</w:t>
            </w:r>
          </w:p>
        </w:tc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>
              <w:t>Refer every clinical question to the pharmacist, using the referral script, on every shift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1814"/>
          </w:tcPr>
          <w:p>
            <w:pPr>
              <w:spacing w:before="60" w:after="60"/>
            </w:pPr>
            <w:r>
              <w:rPr>
                <w:b/>
              </w:rPr>
              <w:t>Content sequencing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In what order should the content be learned?</w:t>
            </w:r>
          </w:p>
        </w:tc>
        <w:tc>
          <w:tcPr>
            <w:tcW w:type="dxa" w:w="2948"/>
          </w:tcPr>
          <w:p>
            <w:pPr>
              <w:spacing w:before="60" w:after="60"/>
            </w:pPr>
            <w:r>
              <w:t>Counter routines first, then privacy, then referrals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Instructional strategies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How will learners practise?</w:t>
            </w:r>
          </w:p>
        </w:tc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>
              <w:t>Scenarios at a simulated counter, then supervised shifts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1814"/>
          </w:tcPr>
          <w:p>
            <w:pPr>
              <w:spacing w:before="60" w:after="60"/>
            </w:pPr>
            <w:r>
              <w:rPr>
                <w:b/>
              </w:rPr>
              <w:t>Designing the message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How will the content be worded and laid out?</w:t>
            </w:r>
          </w:p>
        </w:tc>
        <w:tc>
          <w:tcPr>
            <w:tcW w:type="dxa" w:w="2948"/>
          </w:tcPr>
          <w:p>
            <w:pPr>
              <w:spacing w:before="60" w:after="60"/>
            </w:pPr>
            <w:r>
              <w:t>Plain-language prompts and a one-page referral card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Development of instruction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What will be built, in what format?</w:t>
            </w:r>
          </w:p>
        </w:tc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>
              <w:t>Short online lessons plus a supervisor checklist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1814"/>
          </w:tcPr>
          <w:p>
            <w:pPr>
              <w:spacing w:before="60" w:after="60"/>
            </w:pPr>
            <w:r>
              <w:rPr>
                <w:b/>
              </w:rPr>
              <w:t>Evaluation instruments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How will we know learners can do it?</w:t>
            </w:r>
          </w:p>
        </w:tc>
        <w:tc>
          <w:tcPr>
            <w:tcW w:type="dxa" w:w="2948"/>
          </w:tcPr>
          <w:p>
            <w:pPr>
              <w:spacing w:before="60" w:after="60"/>
            </w:pPr>
            <w:r>
              <w:t>Pharmacist observes relevant referral scenarios and workplace opportunities; schedule repeat checks where needed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2. Ongoing processes</w:t>
      </w:r>
    </w:p>
    <w:p>
      <w:r>
        <w:t>The current edition surrounds the nine elements with processes that run for the life of the project.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Process</w:t>
            </w:r>
          </w:p>
        </w:tc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it means here</w:t>
            </w:r>
          </w:p>
        </w:tc>
        <w:tc>
          <w:tcPr>
            <w:tcW w:type="dxa" w:w="147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Owner</w:t>
            </w:r>
          </w:p>
        </w:tc>
        <w:tc>
          <w:tcPr>
            <w:tcW w:type="dxa" w:w="272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Notes</w:t>
            </w:r>
          </w:p>
        </w:tc>
      </w:tr>
      <w:tr>
        <w:trPr>
          <w:cantSplit w:val="true"/>
          <w:trHeight w:val="680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>Planning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Scope, timeline, budget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Project management</w:t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t>Tracking tasks, people and decisions</w:t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>Support services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Facilities, equipment, staff time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Implementation</w:t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t>Rolling out to sites and learners</w:t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>Formative evaluation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Check and improve design and delivery throughout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Summative evaluation</w:t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t>Judging whether it worked after launch</w:t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>Confirmative evaluation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Checking it is still right months or years later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Revision</w:t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t>Changing any element when evaluation shows a problem</w:t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3. Revision log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124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Element revisited</w:t>
            </w:r>
          </w:p>
        </w:tc>
        <w:tc>
          <w:tcPr>
            <w:tcW w:type="dxa" w:w="294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Why</w:t>
            </w:r>
          </w:p>
        </w:tc>
        <w:tc>
          <w:tcPr>
            <w:tcW w:type="dxa" w:w="328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changed</w:t>
            </w:r>
          </w:p>
        </w:tc>
      </w:tr>
      <w:tr>
        <w:trPr>
          <w:cantSplit w:val="true"/>
          <w:trHeight w:val="624"/>
        </w:trPr>
        <w:tc>
          <w:tcPr>
            <w:tcW w:type="dxa" w:w="1247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154"/>
          </w:tcPr>
          <w:p>
            <w:pPr>
              <w:spacing w:before="60" w:after="60"/>
            </w:pPr>
            <w:r/>
          </w:p>
        </w:tc>
        <w:tc>
          <w:tcPr>
            <w:tcW w:type="dxa" w:w="2948"/>
          </w:tcPr>
          <w:p>
            <w:pPr>
              <w:spacing w:before="60" w:after="60"/>
            </w:pPr>
            <w:r/>
          </w:p>
        </w:tc>
        <w:tc>
          <w:tcPr>
            <w:tcW w:type="dxa" w:w="328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1247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154"/>
          </w:tcPr>
          <w:p>
            <w:pPr>
              <w:spacing w:before="60" w:after="60"/>
            </w:pPr>
            <w:r/>
          </w:p>
        </w:tc>
        <w:tc>
          <w:tcPr>
            <w:tcW w:type="dxa" w:w="2948"/>
          </w:tcPr>
          <w:p>
            <w:pPr>
              <w:spacing w:before="60" w:after="60"/>
            </w:pPr>
            <w:r/>
          </w:p>
        </w:tc>
        <w:tc>
          <w:tcPr>
            <w:tcW w:type="dxa" w:w="328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