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Need-Support Planner for a Mandatory Course</w:t>
      </w:r>
    </w:p>
    <w:p>
      <w:r>
        <w:rPr>
          <w:color w:val="5A5766"/>
          <w:sz w:val="22"/>
        </w:rPr>
        <w:t>Plan a mandatory or compliance course so it supports learners' autonomy, competence and relatedness: the reason in learners' terms, real choices, the right challenge, feedback that explains and a colleague who takes part. Adapted by Coursebox from Ryan and Deci's descriptions of autonomy support and internalisation (2000, 2017) and the three internalisation conditions tested by Deci, Eghrari, Patrick and Leone (1994). A planning aid, not a validated instrument: it gives no score. A hypothetical council refresher is filled in as an example.</w:t>
      </w:r>
    </w:p>
    <w:p>
      <w:r>
        <w:rPr>
          <w:i/>
          <w:color w:val="5A5766"/>
          <w:sz w:val="18"/>
        </w:rPr>
        <w:t>From the Coursebox blog: coursebox.ai/blog/what-is-self-determination-theory-sdt-in-elearning</w:t>
      </w:r>
    </w:p>
    <w:p>
      <w:pPr>
        <w:keepNext/>
        <w:spacing w:before="240" w:after="80"/>
      </w:pPr>
      <w:r>
        <w:rPr>
          <w:b/>
          <w:color w:val="5D008F"/>
          <w:sz w:val="28"/>
        </w:rPr>
        <w:t>How to use this planner</w:t>
      </w:r>
    </w:p>
    <w:p>
      <w:pPr>
        <w:pStyle w:val="ListBullet"/>
      </w:pPr>
      <w:r>
        <w:t>Use it before you brief or build a course that people have to complete, such as a code of conduct, privacy, safety or induction module.</w:t>
      </w:r>
    </w:p>
    <w:p>
      <w:pPr>
        <w:pStyle w:val="ListBullet"/>
      </w:pPr>
      <w:r>
        <w:t>Start with the behaviour you want after the course and the reason you want people to do it. Completion is not the target.</w:t>
      </w:r>
    </w:p>
    <w:p>
      <w:pPr>
        <w:pStyle w:val="ListBullet"/>
      </w:pPr>
      <w:r>
        <w:t>Work through the prompts in order. Each one names the need it supports, so you can see if a need has been left out.</w:t>
      </w:r>
    </w:p>
    <w:p>
      <w:pPr>
        <w:pStyle w:val="ListBullet"/>
      </w:pPr>
      <w:r>
        <w:t>Run the controlling language check on your draft pages before anyone sees them.</w:t>
      </w:r>
    </w:p>
    <w:p>
      <w:pPr>
        <w:pStyle w:val="ListBullet"/>
      </w:pPr>
      <w:r>
        <w:t>Keep each need separate when you review. A plan that is strong on competence and has nothing for relatedness still has a gap.</w:t>
      </w:r>
    </w:p>
    <w:p>
      <w:pPr>
        <w:keepNext/>
        <w:spacing w:before="240" w:after="80"/>
      </w:pPr>
      <w:r>
        <w:rPr>
          <w:b/>
          <w:color w:val="5D008F"/>
          <w:sz w:val="28"/>
        </w:rPr>
        <w:t>Worked example: the council's gifts, benefits and conflicts of interest refresher</w:t>
      </w:r>
    </w:p>
    <w:p>
      <w:r>
        <w:t>Hypothetical example. A regional council with about 900 staff (customer service centre, libraries, planning and building approvals, works depot and waste services) runs an annual code of conduct refresher. The gifts, benefits and conflicts of interest module is mandatory, recorded for audit, about 25 minutes online plus a 15-minute team discussion. Completion is near 100%, but late or missing declarations keep arriving for grey-area cases.</w:t>
      </w:r>
    </w:p>
    <w:p>
      <w:r>
        <w:t>Policy facts used throughout: declare any gift or benefit you are offered, even if you decline it, and any private interest that could affect your work or look as if it could. Declarations go to your team leader on the declaration form within 5 working days.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
              <w:rPr>
                <w:b/>
                <w:color w:val="FFFFFF"/>
              </w:rPr>
              <w:t>Prompt</w:t>
            </w:r>
          </w:p>
        </w:tc>
        <w:tc>
          <w:tcPr>
            <w:tcW w:type="dxa" w:w="1361"/>
            <w:shd w:val="clear" w:color="auto" w:fill="5D008F"/>
          </w:tcPr>
          <w:p>
            <w:pPr>
              <w:spacing w:before="60" w:after="60"/>
            </w:pPr>
            <w:r/>
            <w:r>
              <w:rPr>
                <w:b/>
                <w:color w:val="FFFFFF"/>
              </w:rPr>
              <w:t>Need</w:t>
            </w:r>
          </w:p>
        </w:tc>
        <w:tc>
          <w:tcPr>
            <w:tcW w:type="dxa" w:w="5669"/>
            <w:shd w:val="clear" w:color="auto" w:fill="5D008F"/>
          </w:tcPr>
          <w:p>
            <w:pPr>
              <w:spacing w:before="60" w:after="60"/>
            </w:pPr>
            <w:r/>
            <w:r>
              <w:rPr>
                <w:b/>
                <w:color w:val="FFFFFF"/>
              </w:rPr>
              <w:t>Council refresher</w:t>
            </w:r>
          </w:p>
        </w:tc>
      </w:tr>
      <w:tr>
        <w:trPr>
          <w:cantSplit w:val="true"/>
        </w:trPr>
        <w:tc>
          <w:tcPr>
            <w:tcW w:type="dxa" w:w="2608"/>
          </w:tcPr>
          <w:p>
            <w:pPr>
              <w:spacing w:before="60" w:after="60"/>
            </w:pPr>
            <w:r>
              <w:rPr>
                <w:b/>
              </w:rPr>
              <w:t>The behaviour we want after the course</w:t>
            </w:r>
          </w:p>
        </w:tc>
        <w:tc>
          <w:tcPr>
            <w:tcW w:type="dxa" w:w="1361"/>
          </w:tcPr>
          <w:p>
            <w:pPr>
              <w:spacing w:before="60" w:after="60"/>
            </w:pPr>
            <w:r>
              <w:t>All</w:t>
            </w:r>
          </w:p>
        </w:tc>
        <w:tc>
          <w:tcPr>
            <w:tcW w:type="dxa" w:w="5669"/>
          </w:tcPr>
          <w:p>
            <w:pPr>
              <w:spacing w:before="60" w:after="60"/>
            </w:pPr>
            <w:r>
              <w:t>Staff recognise a grey-area gift, benefit or private interest in their own work and declare it within 5 working days.</w:t>
            </w:r>
          </w:p>
        </w:tc>
      </w:tr>
      <w:tr>
        <w:trPr>
          <w:cantSplit w:val="true"/>
        </w:trPr>
        <w:tc>
          <w:tcPr>
            <w:tcW w:type="dxa" w:w="2608"/>
            <w:shd w:val="clear" w:color="auto" w:fill="F7F0FB"/>
          </w:tcPr>
          <w:p>
            <w:pPr>
              <w:spacing w:before="60" w:after="60"/>
            </w:pPr>
            <w:r>
              <w:rPr>
                <w:b/>
              </w:rPr>
              <w:t>The motivation we are aiming for</w:t>
            </w:r>
          </w:p>
        </w:tc>
        <w:tc>
          <w:tcPr>
            <w:tcW w:type="dxa" w:w="1361"/>
            <w:shd w:val="clear" w:color="auto" w:fill="F7F0FB"/>
          </w:tcPr>
          <w:p>
            <w:pPr>
              <w:spacing w:before="60" w:after="60"/>
            </w:pPr>
            <w:r>
              <w:t>Autonomy</w:t>
            </w:r>
          </w:p>
        </w:tc>
        <w:tc>
          <w:tcPr>
            <w:tcW w:type="dxa" w:w="5669"/>
            <w:shd w:val="clear" w:color="auto" w:fill="F7F0FB"/>
          </w:tcPr>
          <w:p>
            <w:pPr>
              <w:spacing w:before="60" w:after="60"/>
            </w:pPr>
            <w:r>
              <w:t>Staff declare because they value residents' trust and their own protection, not only to avoid trouble or guilt.</w:t>
            </w:r>
          </w:p>
        </w:tc>
      </w:tr>
      <w:tr>
        <w:trPr>
          <w:cantSplit w:val="true"/>
        </w:trPr>
        <w:tc>
          <w:tcPr>
            <w:tcW w:type="dxa" w:w="2608"/>
          </w:tcPr>
          <w:p>
            <w:pPr>
              <w:spacing w:before="60" w:after="60"/>
            </w:pPr>
            <w:r>
              <w:rPr>
                <w:b/>
              </w:rPr>
              <w:t>The reason, in learners' own terms</w:t>
            </w:r>
          </w:p>
        </w:tc>
        <w:tc>
          <w:tcPr>
            <w:tcW w:type="dxa" w:w="1361"/>
          </w:tcPr>
          <w:p>
            <w:pPr>
              <w:spacing w:before="60" w:after="60"/>
            </w:pPr>
            <w:r>
              <w:t>Autonomy</w:t>
            </w:r>
          </w:p>
        </w:tc>
        <w:tc>
          <w:tcPr>
            <w:tcW w:type="dxa" w:w="5669"/>
          </w:tcPr>
          <w:p>
            <w:pPr>
              <w:spacing w:before="60" w:after="60"/>
            </w:pPr>
            <w:r>
              <w:t>Residents trust council decisions only if they can see they were made fairly. A declaration on file protects you if anyone questions a decision later.</w:t>
            </w:r>
          </w:p>
        </w:tc>
      </w:tr>
      <w:tr>
        <w:trPr>
          <w:cantSplit w:val="true"/>
        </w:trPr>
        <w:tc>
          <w:tcPr>
            <w:tcW w:type="dxa" w:w="2608"/>
            <w:shd w:val="clear" w:color="auto" w:fill="F7F0FB"/>
          </w:tcPr>
          <w:p>
            <w:pPr>
              <w:spacing w:before="60" w:after="60"/>
            </w:pPr>
            <w:r>
              <w:rPr>
                <w:b/>
              </w:rPr>
              <w:t>What we acknowledge about how it feels</w:t>
            </w:r>
          </w:p>
        </w:tc>
        <w:tc>
          <w:tcPr>
            <w:tcW w:type="dxa" w:w="1361"/>
            <w:shd w:val="clear" w:color="auto" w:fill="F7F0FB"/>
          </w:tcPr>
          <w:p>
            <w:pPr>
              <w:spacing w:before="60" w:after="60"/>
            </w:pPr>
            <w:r>
              <w:t>Autonomy</w:t>
            </w:r>
          </w:p>
        </w:tc>
        <w:tc>
          <w:tcPr>
            <w:tcW w:type="dxa" w:w="5669"/>
            <w:shd w:val="clear" w:color="auto" w:fill="F7F0FB"/>
          </w:tcPr>
          <w:p>
            <w:pPr>
              <w:spacing w:before="60" w:after="60"/>
            </w:pPr>
            <w:r>
              <w:t>Most of you have done this before, and an annual refresher can feel repetitive. This year's version lets you skip what you already handle well.</w:t>
            </w:r>
          </w:p>
        </w:tc>
      </w:tr>
      <w:tr>
        <w:trPr>
          <w:cantSplit w:val="true"/>
        </w:trPr>
        <w:tc>
          <w:tcPr>
            <w:tcW w:type="dxa" w:w="2608"/>
          </w:tcPr>
          <w:p>
            <w:pPr>
              <w:spacing w:before="60" w:after="60"/>
            </w:pPr>
            <w:r>
              <w:rPr>
                <w:b/>
              </w:rPr>
              <w:t>The requirement, stated once and plainly</w:t>
            </w:r>
          </w:p>
        </w:tc>
        <w:tc>
          <w:tcPr>
            <w:tcW w:type="dxa" w:w="1361"/>
          </w:tcPr>
          <w:p>
            <w:pPr>
              <w:spacing w:before="60" w:after="60"/>
            </w:pPr>
            <w:r>
              <w:t>Autonomy</w:t>
            </w:r>
          </w:p>
        </w:tc>
        <w:tc>
          <w:tcPr>
            <w:tcW w:type="dxa" w:w="5669"/>
          </w:tcPr>
          <w:p>
            <w:pPr>
              <w:spacing w:before="60" w:after="60"/>
            </w:pPr>
            <w:r>
              <w:t>The refresher is required every year and completion is recorded for audit.</w:t>
            </w:r>
          </w:p>
        </w:tc>
      </w:tr>
      <w:tr>
        <w:trPr>
          <w:cantSplit w:val="true"/>
        </w:trPr>
        <w:tc>
          <w:tcPr>
            <w:tcW w:type="dxa" w:w="2608"/>
            <w:shd w:val="clear" w:color="auto" w:fill="F7F0FB"/>
          </w:tcPr>
          <w:p>
            <w:pPr>
              <w:spacing w:before="60" w:after="60"/>
            </w:pPr>
            <w:r>
              <w:rPr>
                <w:b/>
              </w:rPr>
              <w:t>Real choices that fit the work</w:t>
            </w:r>
          </w:p>
        </w:tc>
        <w:tc>
          <w:tcPr>
            <w:tcW w:type="dxa" w:w="1361"/>
            <w:shd w:val="clear" w:color="auto" w:fill="F7F0FB"/>
          </w:tcPr>
          <w:p>
            <w:pPr>
              <w:spacing w:before="60" w:after="60"/>
            </w:pPr>
            <w:r>
              <w:t>Autonomy</w:t>
            </w:r>
          </w:p>
        </w:tc>
        <w:tc>
          <w:tcPr>
            <w:tcW w:type="dxa" w:w="5669"/>
            <w:shd w:val="clear" w:color="auto" w:fill="F7F0FB"/>
          </w:tcPr>
          <w:p>
            <w:pPr>
              <w:spacing w:before="60" w:after="60"/>
            </w:pPr>
            <w:r>
              <w:t>Choose your work area: front counter and libraries, planning and building, or depot and waste. Choose which grey case to bring to the team discussion.</w:t>
            </w:r>
          </w:p>
        </w:tc>
      </w:tr>
      <w:tr>
        <w:trPr>
          <w:cantSplit w:val="true"/>
        </w:trPr>
        <w:tc>
          <w:tcPr>
            <w:tcW w:type="dxa" w:w="2608"/>
          </w:tcPr>
          <w:p>
            <w:pPr>
              <w:spacing w:before="60" w:after="60"/>
            </w:pPr>
            <w:r>
              <w:rPr>
                <w:b/>
              </w:rPr>
              <w:t>Pre-check and skip</w:t>
            </w:r>
          </w:p>
        </w:tc>
        <w:tc>
          <w:tcPr>
            <w:tcW w:type="dxa" w:w="1361"/>
          </w:tcPr>
          <w:p>
            <w:pPr>
              <w:spacing w:before="60" w:after="60"/>
            </w:pPr>
            <w:r>
              <w:t>Competence</w:t>
            </w:r>
          </w:p>
        </w:tc>
        <w:tc>
          <w:tcPr>
            <w:tcW w:type="dxa" w:w="5669"/>
          </w:tcPr>
          <w:p>
            <w:pPr>
              <w:spacing w:before="60" w:after="60"/>
            </w:pPr>
            <w:r>
              <w:t>Three grey-area questions at the start. If all three go well, go straight to the work-area scenarios.</w:t>
            </w:r>
          </w:p>
        </w:tc>
      </w:tr>
      <w:tr>
        <w:trPr>
          <w:cantSplit w:val="true"/>
        </w:trPr>
        <w:tc>
          <w:tcPr>
            <w:tcW w:type="dxa" w:w="2608"/>
            <w:shd w:val="clear" w:color="auto" w:fill="F7F0FB"/>
          </w:tcPr>
          <w:p>
            <w:pPr>
              <w:spacing w:before="60" w:after="60"/>
            </w:pPr>
            <w:r>
              <w:rPr>
                <w:b/>
              </w:rPr>
              <w:t>Harder cases for experienced staff</w:t>
            </w:r>
          </w:p>
        </w:tc>
        <w:tc>
          <w:tcPr>
            <w:tcW w:type="dxa" w:w="1361"/>
            <w:shd w:val="clear" w:color="auto" w:fill="F7F0FB"/>
          </w:tcPr>
          <w:p>
            <w:pPr>
              <w:spacing w:before="60" w:after="60"/>
            </w:pPr>
            <w:r>
              <w:t>Competence</w:t>
            </w:r>
          </w:p>
        </w:tc>
        <w:tc>
          <w:tcPr>
            <w:tcW w:type="dxa" w:w="5669"/>
            <w:shd w:val="clear" w:color="auto" w:fill="F7F0FB"/>
          </w:tcPr>
          <w:p>
            <w:pPr>
              <w:spacing w:before="60" w:after="60"/>
            </w:pPr>
            <w:r>
              <w:t>Two branching scenarios per work area, such as a builder's thank-you hamper sent to a building surveyor, or a supplier offering a depot crew lunch.</w:t>
            </w:r>
          </w:p>
        </w:tc>
      </w:tr>
      <w:tr>
        <w:trPr>
          <w:cantSplit w:val="true"/>
        </w:trPr>
        <w:tc>
          <w:tcPr>
            <w:tcW w:type="dxa" w:w="2608"/>
          </w:tcPr>
          <w:p>
            <w:pPr>
              <w:spacing w:before="60" w:after="60"/>
            </w:pPr>
            <w:r>
              <w:rPr>
                <w:b/>
              </w:rPr>
              <w:t>Feedback wording at each decision</w:t>
            </w:r>
          </w:p>
        </w:tc>
        <w:tc>
          <w:tcPr>
            <w:tcW w:type="dxa" w:w="1361"/>
          </w:tcPr>
          <w:p>
            <w:pPr>
              <w:spacing w:before="60" w:after="60"/>
            </w:pPr>
            <w:r>
              <w:t>Competence</w:t>
            </w:r>
          </w:p>
        </w:tc>
        <w:tc>
          <w:tcPr>
            <w:tcW w:type="dxa" w:w="5669"/>
          </w:tcPr>
          <w:p>
            <w:pPr>
              <w:spacing w:before="60" w:after="60"/>
            </w:pPr>
            <w:r>
              <w:t>Explain the reasoning against the policy and show the consequence of not declaring. No score, no 'Correct!' on its own.</w:t>
            </w:r>
          </w:p>
        </w:tc>
      </w:tr>
      <w:tr>
        <w:trPr>
          <w:cantSplit w:val="true"/>
        </w:trPr>
        <w:tc>
          <w:tcPr>
            <w:tcW w:type="dxa" w:w="2608"/>
            <w:shd w:val="clear" w:color="auto" w:fill="F7F0FB"/>
          </w:tcPr>
          <w:p>
            <w:pPr>
              <w:spacing w:before="60" w:after="60"/>
            </w:pPr>
            <w:r>
              <w:rPr>
                <w:b/>
              </w:rPr>
              <w:t>The peer element</w:t>
            </w:r>
          </w:p>
        </w:tc>
        <w:tc>
          <w:tcPr>
            <w:tcW w:type="dxa" w:w="1361"/>
            <w:shd w:val="clear" w:color="auto" w:fill="F7F0FB"/>
          </w:tcPr>
          <w:p>
            <w:pPr>
              <w:spacing w:before="60" w:after="60"/>
            </w:pPr>
            <w:r>
              <w:t>Relatedness</w:t>
            </w:r>
          </w:p>
        </w:tc>
        <w:tc>
          <w:tcPr>
            <w:tcW w:type="dxa" w:w="5669"/>
            <w:shd w:val="clear" w:color="auto" w:fill="F7F0FB"/>
          </w:tcPr>
          <w:p>
            <w:pPr>
              <w:spacing w:before="60" w:after="60"/>
            </w:pPr>
            <w:r>
              <w:t>A 15-minute team discussion of one anonymised case from the team's area, in which the team leader shares a declaration they have made.</w:t>
            </w:r>
          </w:p>
        </w:tc>
      </w:tr>
      <w:tr>
        <w:trPr>
          <w:cantSplit w:val="true"/>
        </w:trPr>
        <w:tc>
          <w:tcPr>
            <w:tcW w:type="dxa" w:w="2608"/>
          </w:tcPr>
          <w:p>
            <w:pPr>
              <w:spacing w:before="60" w:after="60"/>
            </w:pPr>
            <w:r>
              <w:rPr>
                <w:b/>
              </w:rPr>
              <w:t>Who we brief before launch</w:t>
            </w:r>
          </w:p>
        </w:tc>
        <w:tc>
          <w:tcPr>
            <w:tcW w:type="dxa" w:w="1361"/>
          </w:tcPr>
          <w:p>
            <w:pPr>
              <w:spacing w:before="60" w:after="60"/>
            </w:pPr>
            <w:r>
              <w:t>Relatedness</w:t>
            </w:r>
          </w:p>
        </w:tc>
        <w:tc>
          <w:tcPr>
            <w:tcW w:type="dxa" w:w="5669"/>
          </w:tcPr>
          <w:p>
            <w:pPr>
              <w:spacing w:before="60" w:after="60"/>
            </w:pPr>
            <w:r>
              <w:t>Team leaders, with the discussion guide, and their directors, so the discussion is expected and followed up.</w:t>
            </w:r>
          </w:p>
        </w:tc>
      </w:tr>
      <w:tr>
        <w:trPr>
          <w:cantSplit w:val="true"/>
        </w:trPr>
        <w:tc>
          <w:tcPr>
            <w:tcW w:type="dxa" w:w="2608"/>
            <w:shd w:val="clear" w:color="auto" w:fill="F7F0FB"/>
          </w:tcPr>
          <w:p>
            <w:pPr>
              <w:spacing w:before="60" w:after="60"/>
            </w:pPr>
            <w:r>
              <w:rPr>
                <w:b/>
              </w:rPr>
              <w:t>What we will not use</w:t>
            </w:r>
          </w:p>
        </w:tc>
        <w:tc>
          <w:tcPr>
            <w:tcW w:type="dxa" w:w="1361"/>
            <w:shd w:val="clear" w:color="auto" w:fill="F7F0FB"/>
          </w:tcPr>
          <w:p>
            <w:pPr>
              <w:spacing w:before="60" w:after="60"/>
            </w:pPr>
            <w:r>
              <w:t>Autonomy</w:t>
            </w:r>
          </w:p>
        </w:tc>
        <w:tc>
          <w:tcPr>
            <w:tcW w:type="dxa" w:w="5669"/>
            <w:shd w:val="clear" w:color="auto" w:fill="F7F0FB"/>
          </w:tcPr>
          <w:p>
            <w:pPr>
              <w:spacing w:before="60" w:after="60"/>
            </w:pPr>
            <w:r>
              <w:t>For this course: completion prizes, points and competitions. Remove shaming threats; retain neutral requirements, reporting and relevant consequences.</w:t>
            </w:r>
          </w:p>
        </w:tc>
      </w:tr>
      <w:tr>
        <w:trPr>
          <w:cantSplit w:val="true"/>
        </w:trPr>
        <w:tc>
          <w:tcPr>
            <w:tcW w:type="dxa" w:w="2608"/>
          </w:tcPr>
          <w:p>
            <w:pPr>
              <w:spacing w:before="60" w:after="60"/>
            </w:pPr>
            <w:r>
              <w:rPr>
                <w:b/>
              </w:rPr>
              <w:t>How we will check it worked</w:t>
            </w:r>
          </w:p>
        </w:tc>
        <w:tc>
          <w:tcPr>
            <w:tcW w:type="dxa" w:w="1361"/>
          </w:tcPr>
          <w:p>
            <w:pPr>
              <w:spacing w:before="60" w:after="60"/>
            </w:pPr>
            <w:r>
              <w:t>All</w:t>
            </w:r>
          </w:p>
        </w:tc>
        <w:tc>
          <w:tcPr>
            <w:tcW w:type="dxa" w:w="5669"/>
          </w:tcPr>
          <w:p>
            <w:pPr>
              <w:spacing w:before="60" w:after="60"/>
            </w:pPr>
            <w:r>
              <w:t>Declaration timeliness and situations requiring declarations, plus a separate pulse on each need. Counts alone do not show motivation or the course's effect.</w:t>
            </w:r>
          </w:p>
        </w:tc>
      </w:tr>
    </w:tbl>
    <w:p>
      <w:pPr>
        <w:keepNext/>
        <w:pageBreakBefore/>
        <w:spacing w:before="240" w:after="80"/>
      </w:pPr>
      <w:r>
        <w:rPr>
          <w:b/>
          <w:color w:val="5D008F"/>
          <w:sz w:val="28"/>
        </w:rPr>
        <w:t>Controlling language check</w:t>
      </w:r>
    </w:p>
    <w:p>
      <w:r>
        <w:t>Rewrite shaming or exaggerated threats as clear reasons. Keep accurate requirements, deadlines, reporting and relevant consequences.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4535"/>
            <w:shd w:val="clear" w:color="auto" w:fill="5D008F"/>
          </w:tcPr>
          <w:p>
            <w:pPr>
              <w:spacing w:before="60" w:after="60"/>
            </w:pPr>
            <w:r/>
            <w:r>
              <w:rPr>
                <w:b/>
                <w:color w:val="FFFFFF"/>
              </w:rPr>
              <w:t>Instead of</w:t>
            </w:r>
          </w:p>
        </w:tc>
        <w:tc>
          <w:tcPr>
            <w:tcW w:type="dxa" w:w="5102"/>
            <w:shd w:val="clear" w:color="auto" w:fill="5D008F"/>
          </w:tcPr>
          <w:p>
            <w:pPr>
              <w:spacing w:before="60" w:after="60"/>
            </w:pPr>
            <w:r/>
            <w:r>
              <w:rPr>
                <w:b/>
                <w:color w:val="FFFFFF"/>
              </w:rPr>
              <w:t>Try</w:t>
            </w:r>
          </w:p>
        </w:tc>
      </w:tr>
      <w:tr>
        <w:trPr>
          <w:cantSplit w:val="true"/>
        </w:trPr>
        <w:tc>
          <w:tcPr>
            <w:tcW w:type="dxa" w:w="4535"/>
          </w:tcPr>
          <w:p>
            <w:pPr>
              <w:spacing w:before="60" w:after="60"/>
            </w:pPr>
            <w:r>
              <w:rPr>
                <w:b/>
              </w:rPr>
              <w:t>You must complete this module by 30 June.</w:t>
            </w:r>
          </w:p>
        </w:tc>
        <w:tc>
          <w:tcPr>
            <w:tcW w:type="dxa" w:w="5102"/>
          </w:tcPr>
          <w:p>
            <w:pPr>
              <w:spacing w:before="60" w:after="60"/>
            </w:pPr>
            <w:r>
              <w:t>This refresher is due by 30 June. Here is why we run it every year.</w:t>
            </w:r>
          </w:p>
        </w:tc>
      </w:tr>
      <w:tr>
        <w:trPr>
          <w:cantSplit w:val="true"/>
        </w:trPr>
        <w:tc>
          <w:tcPr>
            <w:tcW w:type="dxa" w:w="4535"/>
            <w:shd w:val="clear" w:color="auto" w:fill="F7F0FB"/>
          </w:tcPr>
          <w:p>
            <w:pPr>
              <w:spacing w:before="60" w:after="60"/>
            </w:pPr>
            <w:r>
              <w:rPr>
                <w:b/>
              </w:rPr>
              <w:t>Failure to complete will be reported to your manager.</w:t>
            </w:r>
          </w:p>
        </w:tc>
        <w:tc>
          <w:tcPr>
            <w:tcW w:type="dxa" w:w="5102"/>
            <w:shd w:val="clear" w:color="auto" w:fill="F7F0FB"/>
          </w:tcPr>
          <w:p>
            <w:pPr>
              <w:spacing w:before="60" w:after="60"/>
            </w:pPr>
            <w:r>
              <w:t>State completion reporting and relevant consequences neutrally. Do not use them as a threat.</w:t>
            </w:r>
          </w:p>
        </w:tc>
      </w:tr>
      <w:tr>
        <w:trPr>
          <w:cantSplit w:val="true"/>
        </w:trPr>
        <w:tc>
          <w:tcPr>
            <w:tcW w:type="dxa" w:w="4535"/>
          </w:tcPr>
          <w:p>
            <w:pPr>
              <w:spacing w:before="60" w:after="60"/>
            </w:pPr>
            <w:r>
              <w:rPr>
                <w:b/>
              </w:rPr>
              <w:t>Correct!</w:t>
            </w:r>
          </w:p>
        </w:tc>
        <w:tc>
          <w:tcPr>
            <w:tcW w:type="dxa" w:w="5102"/>
          </w:tcPr>
          <w:p>
            <w:pPr>
              <w:spacing w:before="60" w:after="60"/>
            </w:pPr>
            <w:r>
              <w:t>Yes. The hamper was offered because of your role in the approval, so it needs declaring even though you declined it.</w:t>
            </w:r>
          </w:p>
        </w:tc>
      </w:tr>
      <w:tr>
        <w:trPr>
          <w:cantSplit w:val="true"/>
        </w:trPr>
        <w:tc>
          <w:tcPr>
            <w:tcW w:type="dxa" w:w="4535"/>
            <w:shd w:val="clear" w:color="auto" w:fill="F7F0FB"/>
          </w:tcPr>
          <w:p>
            <w:pPr>
              <w:spacing w:before="60" w:after="60"/>
            </w:pPr>
            <w:r>
              <w:rPr>
                <w:b/>
              </w:rPr>
              <w:t>Incorrect. Try again.</w:t>
            </w:r>
          </w:p>
        </w:tc>
        <w:tc>
          <w:tcPr>
            <w:tcW w:type="dxa" w:w="5102"/>
            <w:shd w:val="clear" w:color="auto" w:fill="F7F0FB"/>
          </w:tcPr>
          <w:p>
            <w:pPr>
              <w:spacing w:before="60" w:after="60"/>
            </w:pPr>
            <w:r>
              <w:t>Not quite. Your neighbour's application could look as if it affects your decision, so declare the interest and ask your team leader who should assess it.</w:t>
            </w:r>
          </w:p>
        </w:tc>
      </w:tr>
      <w:tr>
        <w:trPr>
          <w:cantSplit w:val="true"/>
        </w:trPr>
        <w:tc>
          <w:tcPr>
            <w:tcW w:type="dxa" w:w="4535"/>
          </w:tcPr>
          <w:p>
            <w:pPr>
              <w:spacing w:before="60" w:after="60"/>
            </w:pPr>
            <w:r>
              <w:rPr>
                <w:b/>
              </w:rPr>
              <w:t>All staff are required to read the policy below.</w:t>
            </w:r>
          </w:p>
        </w:tc>
        <w:tc>
          <w:tcPr>
            <w:tcW w:type="dxa" w:w="5102"/>
          </w:tcPr>
          <w:p>
            <w:pPr>
              <w:spacing w:before="60" w:after="60"/>
            </w:pPr>
            <w:r>
              <w:t>You can read the full policy here, or use the one-page summary while you work through the cases.</w:t>
            </w:r>
          </w:p>
        </w:tc>
      </w:tr>
      <w:tr>
        <w:trPr>
          <w:cantSplit w:val="true"/>
        </w:trPr>
        <w:tc>
          <w:tcPr>
            <w:tcW w:type="dxa" w:w="4535"/>
            <w:shd w:val="clear" w:color="auto" w:fill="F7F0FB"/>
          </w:tcPr>
          <w:p>
            <w:pPr>
              <w:spacing w:before="60" w:after="60"/>
            </w:pPr>
            <w:r>
              <w:rPr>
                <w:b/>
              </w:rPr>
              <w:t>Don't risk disciplinary action.</w:t>
            </w:r>
          </w:p>
        </w:tc>
        <w:tc>
          <w:tcPr>
            <w:tcW w:type="dxa" w:w="5102"/>
            <w:shd w:val="clear" w:color="auto" w:fill="F7F0FB"/>
          </w:tcPr>
          <w:p>
            <w:pPr>
              <w:spacing w:before="60" w:after="60"/>
            </w:pPr>
            <w:r>
              <w:t>Declaring protects you if anyone asks questions about a decision later.</w:t>
            </w:r>
          </w:p>
        </w:tc>
      </w:tr>
      <w:tr>
        <w:trPr>
          <w:cantSplit w:val="true"/>
        </w:trPr>
        <w:tc>
          <w:tcPr>
            <w:tcW w:type="dxa" w:w="4535"/>
          </w:tcPr>
          <w:p>
            <w:pPr>
              <w:spacing w:before="60" w:after="60"/>
            </w:pPr>
            <w:r>
              <w:rPr>
                <w:b/>
              </w:rPr>
              <w:t>A good employee always declares.</w:t>
            </w:r>
          </w:p>
        </w:tc>
        <w:tc>
          <w:tcPr>
            <w:tcW w:type="dxa" w:w="5102"/>
          </w:tcPr>
          <w:p>
            <w:pPr>
              <w:spacing w:before="60" w:after="60"/>
            </w:pPr>
            <w:r>
              <w:t>Declaring is how we show residents that decisions are made fairly.</w:t>
            </w:r>
          </w:p>
        </w:tc>
      </w:tr>
    </w:tbl>
    <w:p>
      <w:pPr>
        <w:spacing w:before="160"/>
      </w:pPr>
      <w:r>
        <w:rPr>
          <w:i/>
          <w:color w:val="5A5766"/>
        </w:rPr>
        <w:t>Ryan and Deci (2000, p. 70) list threats, deadlines, directives, pressured evaluations and imposed goals as events that tend to diminish intrinsic motivation. The rewrites are our wording.</w:t>
      </w:r>
    </w:p>
    <w:p>
      <w:pPr>
        <w:keepNext/>
        <w:spacing w:before="240" w:after="80"/>
      </w:pPr>
      <w:r>
        <w:rPr>
          <w:b/>
          <w:color w:val="5D008F"/>
          <w:sz w:val="28"/>
        </w:rPr>
        <w:t>Optional pulse questions after the course</w:t>
      </w:r>
    </w:p>
    <w:p>
      <w:r>
        <w:t>Ask a few weeks after the course, on a five-point scale from strongly disagree to strongly agree. Report each need on its own, with no total and no pass mark.</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1984"/>
            <w:shd w:val="clear" w:color="auto" w:fill="5D008F"/>
          </w:tcPr>
          <w:p>
            <w:pPr>
              <w:spacing w:before="60" w:after="60"/>
            </w:pPr>
            <w:r/>
            <w:r>
              <w:rPr>
                <w:b/>
                <w:color w:val="FFFFFF"/>
              </w:rPr>
              <w:t>Need</w:t>
            </w:r>
          </w:p>
        </w:tc>
        <w:tc>
          <w:tcPr>
            <w:tcW w:type="dxa" w:w="7654"/>
            <w:shd w:val="clear" w:color="auto" w:fill="5D008F"/>
          </w:tcPr>
          <w:p>
            <w:pPr>
              <w:spacing w:before="60" w:after="60"/>
            </w:pPr>
            <w:r/>
            <w:r>
              <w:rPr>
                <w:b/>
                <w:color w:val="FFFFFF"/>
              </w:rPr>
              <w:t>Question (our wording, adapted from the three needs)</w:t>
            </w:r>
          </w:p>
        </w:tc>
      </w:tr>
      <w:tr>
        <w:trPr>
          <w:cantSplit w:val="true"/>
        </w:trPr>
        <w:tc>
          <w:tcPr>
            <w:tcW w:type="dxa" w:w="1984"/>
          </w:tcPr>
          <w:p>
            <w:pPr>
              <w:spacing w:before="60" w:after="60"/>
            </w:pPr>
            <w:r>
              <w:rPr>
                <w:b/>
              </w:rPr>
              <w:t>Autonomy</w:t>
            </w:r>
          </w:p>
        </w:tc>
        <w:tc>
          <w:tcPr>
            <w:tcW w:type="dxa" w:w="7654"/>
          </w:tcPr>
          <w:p>
            <w:pPr>
              <w:spacing w:before="60" w:after="60"/>
            </w:pPr>
            <w:r>
              <w:t>I understand why the council asks us to declare gifts, benefits and private interests, and I agree with the reason.</w:t>
            </w:r>
          </w:p>
        </w:tc>
      </w:tr>
      <w:tr>
        <w:trPr>
          <w:cantSplit w:val="true"/>
        </w:trPr>
        <w:tc>
          <w:tcPr>
            <w:tcW w:type="dxa" w:w="1984"/>
            <w:shd w:val="clear" w:color="auto" w:fill="F7F0FB"/>
          </w:tcPr>
          <w:p>
            <w:pPr>
              <w:spacing w:before="60" w:after="60"/>
            </w:pPr>
            <w:r>
              <w:rPr>
                <w:b/>
              </w:rPr>
              <w:t>Competence</w:t>
            </w:r>
          </w:p>
        </w:tc>
        <w:tc>
          <w:tcPr>
            <w:tcW w:type="dxa" w:w="7654"/>
            <w:shd w:val="clear" w:color="auto" w:fill="F7F0FB"/>
          </w:tcPr>
          <w:p>
            <w:pPr>
              <w:spacing w:before="60" w:after="60"/>
            </w:pPr>
            <w:r>
              <w:t>I feel able to judge a grey-area gift or interest in my own work.</w:t>
            </w:r>
          </w:p>
        </w:tc>
      </w:tr>
      <w:tr>
        <w:trPr>
          <w:cantSplit w:val="true"/>
        </w:trPr>
        <w:tc>
          <w:tcPr>
            <w:tcW w:type="dxa" w:w="1984"/>
          </w:tcPr>
          <w:p>
            <w:pPr>
              <w:spacing w:before="60" w:after="60"/>
            </w:pPr>
            <w:r>
              <w:rPr>
                <w:b/>
              </w:rPr>
              <w:t>Competence</w:t>
            </w:r>
          </w:p>
        </w:tc>
        <w:tc>
          <w:tcPr>
            <w:tcW w:type="dxa" w:w="7654"/>
          </w:tcPr>
          <w:p>
            <w:pPr>
              <w:spacing w:before="60" w:after="60"/>
            </w:pPr>
            <w:r>
              <w:t>The feedback in the course explained why, not only whether I was right.</w:t>
            </w:r>
          </w:p>
        </w:tc>
      </w:tr>
      <w:tr>
        <w:trPr>
          <w:cantSplit w:val="true"/>
        </w:trPr>
        <w:tc>
          <w:tcPr>
            <w:tcW w:type="dxa" w:w="1984"/>
            <w:shd w:val="clear" w:color="auto" w:fill="F7F0FB"/>
          </w:tcPr>
          <w:p>
            <w:pPr>
              <w:spacing w:before="60" w:after="60"/>
            </w:pPr>
            <w:r>
              <w:rPr>
                <w:b/>
              </w:rPr>
              <w:t>Relatedness</w:t>
            </w:r>
          </w:p>
        </w:tc>
        <w:tc>
          <w:tcPr>
            <w:tcW w:type="dxa" w:w="7654"/>
            <w:shd w:val="clear" w:color="auto" w:fill="F7F0FB"/>
          </w:tcPr>
          <w:p>
            <w:pPr>
              <w:spacing w:before="60" w:after="60"/>
            </w:pPr>
            <w:r>
              <w:t>I could talk about a possible declaration with my team leader without worrying about how it would look.</w:t>
            </w:r>
          </w:p>
        </w:tc>
      </w:tr>
    </w:tbl>
    <w:p>
      <w:pPr>
        <w:spacing w:before="160"/>
      </w:pPr>
      <w:r>
        <w:rPr>
          <w:i/>
          <w:color w:val="5A5766"/>
        </w:rPr>
        <w:t>These questions are our own wording, not items from a published scale, and they have not been validated. The questionnaires on the Center for Self-Determination Theory's website are free for academic use; commercial use needs the centre's permission. Van den Broeck and colleagues (2016) advise against averaging the three needs into one score.</w:t>
      </w:r>
    </w:p>
    <w:p>
      <w:pPr>
        <w:keepNext/>
        <w:pageBreakBefore/>
        <w:spacing w:before="240" w:after="80"/>
      </w:pPr>
      <w:r>
        <w:rPr>
          <w:b/>
          <w:color w:val="5D008F"/>
          <w:sz w:val="28"/>
        </w:rPr>
        <w:t>Your planner (blank)</w:t>
      </w:r>
    </w:p>
    <w:p>
      <w:r>
        <w:t>Course: ______________________________   Audience: ______________________________</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
              <w:rPr>
                <w:b/>
                <w:color w:val="FFFFFF"/>
              </w:rPr>
              <w:t>Prompt</w:t>
            </w:r>
          </w:p>
        </w:tc>
        <w:tc>
          <w:tcPr>
            <w:tcW w:type="dxa" w:w="1361"/>
            <w:shd w:val="clear" w:color="auto" w:fill="5D008F"/>
          </w:tcPr>
          <w:p>
            <w:pPr>
              <w:spacing w:before="60" w:after="60"/>
            </w:pPr>
            <w:r/>
            <w:r>
              <w:rPr>
                <w:b/>
                <w:color w:val="FFFFFF"/>
              </w:rPr>
              <w:t>Need</w:t>
            </w:r>
          </w:p>
        </w:tc>
        <w:tc>
          <w:tcPr>
            <w:tcW w:type="dxa" w:w="5669"/>
            <w:shd w:val="clear" w:color="auto" w:fill="5D008F"/>
          </w:tcPr>
          <w:p>
            <w:pPr>
              <w:spacing w:before="60" w:after="60"/>
            </w:pPr>
            <w:r/>
            <w:r>
              <w:rPr>
                <w:b/>
                <w:color w:val="FFFFFF"/>
              </w:rPr>
              <w:t>Your course</w:t>
            </w:r>
          </w:p>
        </w:tc>
      </w:tr>
      <w:tr>
        <w:trPr>
          <w:cantSplit w:val="true"/>
          <w:trHeight w:val="709"/>
        </w:trPr>
        <w:tc>
          <w:tcPr>
            <w:tcW w:type="dxa" w:w="2608"/>
          </w:tcPr>
          <w:p>
            <w:pPr>
              <w:spacing w:before="60" w:after="60"/>
            </w:pPr>
            <w:r>
              <w:rPr>
                <w:b/>
              </w:rPr>
              <w:t>The behaviour we want after the course</w:t>
            </w:r>
          </w:p>
        </w:tc>
        <w:tc>
          <w:tcPr>
            <w:tcW w:type="dxa" w:w="1361"/>
          </w:tcPr>
          <w:p>
            <w:pPr>
              <w:spacing w:before="60" w:after="60"/>
            </w:pPr>
            <w:r>
              <w:t>All</w:t>
            </w:r>
          </w:p>
        </w:tc>
        <w:tc>
          <w:tcPr>
            <w:tcW w:type="dxa" w:w="5669"/>
          </w:tcPr>
          <w:p>
            <w:pPr>
              <w:spacing w:before="60" w:after="60"/>
            </w:pPr>
            <w:r/>
          </w:p>
        </w:tc>
      </w:tr>
      <w:tr>
        <w:trPr>
          <w:cantSplit w:val="true"/>
          <w:trHeight w:val="709"/>
        </w:trPr>
        <w:tc>
          <w:tcPr>
            <w:tcW w:type="dxa" w:w="2608"/>
            <w:shd w:val="clear" w:color="auto" w:fill="F7F0FB"/>
          </w:tcPr>
          <w:p>
            <w:pPr>
              <w:spacing w:before="60" w:after="60"/>
            </w:pPr>
            <w:r>
              <w:rPr>
                <w:b/>
              </w:rPr>
              <w:t>The motivation we are aiming for</w:t>
            </w:r>
          </w:p>
        </w:tc>
        <w:tc>
          <w:tcPr>
            <w:tcW w:type="dxa" w:w="1361"/>
            <w:shd w:val="clear" w:color="auto" w:fill="F7F0FB"/>
          </w:tcPr>
          <w:p>
            <w:pPr>
              <w:spacing w:before="60" w:after="60"/>
            </w:pPr>
            <w:r>
              <w:t>Autonomy</w:t>
            </w:r>
          </w:p>
        </w:tc>
        <w:tc>
          <w:tcPr>
            <w:tcW w:type="dxa" w:w="5669"/>
            <w:shd w:val="clear" w:color="auto" w:fill="F7F0FB"/>
          </w:tcPr>
          <w:p>
            <w:pPr>
              <w:spacing w:before="60" w:after="60"/>
            </w:pPr>
            <w:r/>
          </w:p>
        </w:tc>
      </w:tr>
      <w:tr>
        <w:trPr>
          <w:cantSplit w:val="true"/>
          <w:trHeight w:val="709"/>
        </w:trPr>
        <w:tc>
          <w:tcPr>
            <w:tcW w:type="dxa" w:w="2608"/>
          </w:tcPr>
          <w:p>
            <w:pPr>
              <w:spacing w:before="60" w:after="60"/>
            </w:pPr>
            <w:r>
              <w:rPr>
                <w:b/>
              </w:rPr>
              <w:t>The reason, in learners' own terms</w:t>
            </w:r>
          </w:p>
        </w:tc>
        <w:tc>
          <w:tcPr>
            <w:tcW w:type="dxa" w:w="1361"/>
          </w:tcPr>
          <w:p>
            <w:pPr>
              <w:spacing w:before="60" w:after="60"/>
            </w:pPr>
            <w:r>
              <w:t>Autonomy</w:t>
            </w:r>
          </w:p>
        </w:tc>
        <w:tc>
          <w:tcPr>
            <w:tcW w:type="dxa" w:w="5669"/>
          </w:tcPr>
          <w:p>
            <w:pPr>
              <w:spacing w:before="60" w:after="60"/>
            </w:pPr>
            <w:r/>
          </w:p>
        </w:tc>
      </w:tr>
      <w:tr>
        <w:trPr>
          <w:cantSplit w:val="true"/>
          <w:trHeight w:val="709"/>
        </w:trPr>
        <w:tc>
          <w:tcPr>
            <w:tcW w:type="dxa" w:w="2608"/>
            <w:shd w:val="clear" w:color="auto" w:fill="F7F0FB"/>
          </w:tcPr>
          <w:p>
            <w:pPr>
              <w:spacing w:before="60" w:after="60"/>
            </w:pPr>
            <w:r>
              <w:rPr>
                <w:b/>
              </w:rPr>
              <w:t>What we acknowledge about how it feels</w:t>
            </w:r>
          </w:p>
        </w:tc>
        <w:tc>
          <w:tcPr>
            <w:tcW w:type="dxa" w:w="1361"/>
            <w:shd w:val="clear" w:color="auto" w:fill="F7F0FB"/>
          </w:tcPr>
          <w:p>
            <w:pPr>
              <w:spacing w:before="60" w:after="60"/>
            </w:pPr>
            <w:r>
              <w:t>Autonomy</w:t>
            </w:r>
          </w:p>
        </w:tc>
        <w:tc>
          <w:tcPr>
            <w:tcW w:type="dxa" w:w="5669"/>
            <w:shd w:val="clear" w:color="auto" w:fill="F7F0FB"/>
          </w:tcPr>
          <w:p>
            <w:pPr>
              <w:spacing w:before="60" w:after="60"/>
            </w:pPr>
            <w:r/>
          </w:p>
        </w:tc>
      </w:tr>
      <w:tr>
        <w:trPr>
          <w:cantSplit w:val="true"/>
          <w:trHeight w:val="709"/>
        </w:trPr>
        <w:tc>
          <w:tcPr>
            <w:tcW w:type="dxa" w:w="2608"/>
          </w:tcPr>
          <w:p>
            <w:pPr>
              <w:spacing w:before="60" w:after="60"/>
            </w:pPr>
            <w:r>
              <w:rPr>
                <w:b/>
              </w:rPr>
              <w:t>The requirement, stated once and plainly</w:t>
            </w:r>
          </w:p>
        </w:tc>
        <w:tc>
          <w:tcPr>
            <w:tcW w:type="dxa" w:w="1361"/>
          </w:tcPr>
          <w:p>
            <w:pPr>
              <w:spacing w:before="60" w:after="60"/>
            </w:pPr>
            <w:r>
              <w:t>Autonomy</w:t>
            </w:r>
          </w:p>
        </w:tc>
        <w:tc>
          <w:tcPr>
            <w:tcW w:type="dxa" w:w="5669"/>
          </w:tcPr>
          <w:p>
            <w:pPr>
              <w:spacing w:before="60" w:after="60"/>
            </w:pPr>
            <w:r/>
          </w:p>
        </w:tc>
      </w:tr>
      <w:tr>
        <w:trPr>
          <w:cantSplit w:val="true"/>
          <w:trHeight w:val="709"/>
        </w:trPr>
        <w:tc>
          <w:tcPr>
            <w:tcW w:type="dxa" w:w="2608"/>
            <w:shd w:val="clear" w:color="auto" w:fill="F7F0FB"/>
          </w:tcPr>
          <w:p>
            <w:pPr>
              <w:spacing w:before="60" w:after="60"/>
            </w:pPr>
            <w:r>
              <w:rPr>
                <w:b/>
              </w:rPr>
              <w:t>Real choices that fit the work</w:t>
            </w:r>
          </w:p>
        </w:tc>
        <w:tc>
          <w:tcPr>
            <w:tcW w:type="dxa" w:w="1361"/>
            <w:shd w:val="clear" w:color="auto" w:fill="F7F0FB"/>
          </w:tcPr>
          <w:p>
            <w:pPr>
              <w:spacing w:before="60" w:after="60"/>
            </w:pPr>
            <w:r>
              <w:t>Autonomy</w:t>
            </w:r>
          </w:p>
        </w:tc>
        <w:tc>
          <w:tcPr>
            <w:tcW w:type="dxa" w:w="5669"/>
            <w:shd w:val="clear" w:color="auto" w:fill="F7F0FB"/>
          </w:tcPr>
          <w:p>
            <w:pPr>
              <w:spacing w:before="60" w:after="60"/>
            </w:pPr>
            <w:r/>
          </w:p>
        </w:tc>
      </w:tr>
      <w:tr>
        <w:trPr>
          <w:cantSplit w:val="true"/>
          <w:trHeight w:val="709"/>
        </w:trPr>
        <w:tc>
          <w:tcPr>
            <w:tcW w:type="dxa" w:w="2608"/>
          </w:tcPr>
          <w:p>
            <w:pPr>
              <w:spacing w:before="60" w:after="60"/>
            </w:pPr>
            <w:r>
              <w:rPr>
                <w:b/>
              </w:rPr>
              <w:t>Pre-check and skip</w:t>
            </w:r>
          </w:p>
        </w:tc>
        <w:tc>
          <w:tcPr>
            <w:tcW w:type="dxa" w:w="1361"/>
          </w:tcPr>
          <w:p>
            <w:pPr>
              <w:spacing w:before="60" w:after="60"/>
            </w:pPr>
            <w:r>
              <w:t>Competence</w:t>
            </w:r>
          </w:p>
        </w:tc>
        <w:tc>
          <w:tcPr>
            <w:tcW w:type="dxa" w:w="5669"/>
          </w:tcPr>
          <w:p>
            <w:pPr>
              <w:spacing w:before="60" w:after="60"/>
            </w:pPr>
            <w:r/>
          </w:p>
        </w:tc>
      </w:tr>
      <w:tr>
        <w:trPr>
          <w:cantSplit w:val="true"/>
          <w:trHeight w:val="709"/>
        </w:trPr>
        <w:tc>
          <w:tcPr>
            <w:tcW w:type="dxa" w:w="2608"/>
            <w:shd w:val="clear" w:color="auto" w:fill="F7F0FB"/>
          </w:tcPr>
          <w:p>
            <w:pPr>
              <w:spacing w:before="60" w:after="60"/>
            </w:pPr>
            <w:r>
              <w:rPr>
                <w:b/>
              </w:rPr>
              <w:t>Harder cases for experienced staff</w:t>
            </w:r>
          </w:p>
        </w:tc>
        <w:tc>
          <w:tcPr>
            <w:tcW w:type="dxa" w:w="1361"/>
            <w:shd w:val="clear" w:color="auto" w:fill="F7F0FB"/>
          </w:tcPr>
          <w:p>
            <w:pPr>
              <w:spacing w:before="60" w:after="60"/>
            </w:pPr>
            <w:r>
              <w:t>Competence</w:t>
            </w:r>
          </w:p>
        </w:tc>
        <w:tc>
          <w:tcPr>
            <w:tcW w:type="dxa" w:w="5669"/>
            <w:shd w:val="clear" w:color="auto" w:fill="F7F0FB"/>
          </w:tcPr>
          <w:p>
            <w:pPr>
              <w:spacing w:before="60" w:after="60"/>
            </w:pPr>
            <w:r/>
          </w:p>
        </w:tc>
      </w:tr>
      <w:tr>
        <w:trPr>
          <w:cantSplit w:val="true"/>
          <w:trHeight w:val="709"/>
        </w:trPr>
        <w:tc>
          <w:tcPr>
            <w:tcW w:type="dxa" w:w="2608"/>
          </w:tcPr>
          <w:p>
            <w:pPr>
              <w:spacing w:before="60" w:after="60"/>
            </w:pPr>
            <w:r>
              <w:rPr>
                <w:b/>
              </w:rPr>
              <w:t>Feedback wording at each decision</w:t>
            </w:r>
          </w:p>
        </w:tc>
        <w:tc>
          <w:tcPr>
            <w:tcW w:type="dxa" w:w="1361"/>
          </w:tcPr>
          <w:p>
            <w:pPr>
              <w:spacing w:before="60" w:after="60"/>
            </w:pPr>
            <w:r>
              <w:t>Competence</w:t>
            </w:r>
          </w:p>
        </w:tc>
        <w:tc>
          <w:tcPr>
            <w:tcW w:type="dxa" w:w="5669"/>
          </w:tcPr>
          <w:p>
            <w:pPr>
              <w:spacing w:before="60" w:after="60"/>
            </w:pPr>
            <w:r/>
          </w:p>
        </w:tc>
      </w:tr>
      <w:tr>
        <w:trPr>
          <w:cantSplit w:val="true"/>
          <w:trHeight w:val="709"/>
        </w:trPr>
        <w:tc>
          <w:tcPr>
            <w:tcW w:type="dxa" w:w="2608"/>
            <w:shd w:val="clear" w:color="auto" w:fill="F7F0FB"/>
          </w:tcPr>
          <w:p>
            <w:pPr>
              <w:spacing w:before="60" w:after="60"/>
            </w:pPr>
            <w:r>
              <w:rPr>
                <w:b/>
              </w:rPr>
              <w:t>The peer element</w:t>
            </w:r>
          </w:p>
        </w:tc>
        <w:tc>
          <w:tcPr>
            <w:tcW w:type="dxa" w:w="1361"/>
            <w:shd w:val="clear" w:color="auto" w:fill="F7F0FB"/>
          </w:tcPr>
          <w:p>
            <w:pPr>
              <w:spacing w:before="60" w:after="60"/>
            </w:pPr>
            <w:r>
              <w:t>Relatedness</w:t>
            </w:r>
          </w:p>
        </w:tc>
        <w:tc>
          <w:tcPr>
            <w:tcW w:type="dxa" w:w="5669"/>
            <w:shd w:val="clear" w:color="auto" w:fill="F7F0FB"/>
          </w:tcPr>
          <w:p>
            <w:pPr>
              <w:spacing w:before="60" w:after="60"/>
            </w:pPr>
            <w:r/>
          </w:p>
        </w:tc>
      </w:tr>
      <w:tr>
        <w:trPr>
          <w:cantSplit w:val="true"/>
          <w:trHeight w:val="709"/>
        </w:trPr>
        <w:tc>
          <w:tcPr>
            <w:tcW w:type="dxa" w:w="2608"/>
          </w:tcPr>
          <w:p>
            <w:pPr>
              <w:spacing w:before="60" w:after="60"/>
            </w:pPr>
            <w:r>
              <w:rPr>
                <w:b/>
              </w:rPr>
              <w:t>Who we brief before launch</w:t>
            </w:r>
          </w:p>
        </w:tc>
        <w:tc>
          <w:tcPr>
            <w:tcW w:type="dxa" w:w="1361"/>
          </w:tcPr>
          <w:p>
            <w:pPr>
              <w:spacing w:before="60" w:after="60"/>
            </w:pPr>
            <w:r>
              <w:t>Relatedness</w:t>
            </w:r>
          </w:p>
        </w:tc>
        <w:tc>
          <w:tcPr>
            <w:tcW w:type="dxa" w:w="5669"/>
          </w:tcPr>
          <w:p>
            <w:pPr>
              <w:spacing w:before="60" w:after="60"/>
            </w:pPr>
            <w:r/>
          </w:p>
        </w:tc>
      </w:tr>
      <w:tr>
        <w:trPr>
          <w:cantSplit w:val="true"/>
          <w:trHeight w:val="709"/>
        </w:trPr>
        <w:tc>
          <w:tcPr>
            <w:tcW w:type="dxa" w:w="2608"/>
            <w:shd w:val="clear" w:color="auto" w:fill="F7F0FB"/>
          </w:tcPr>
          <w:p>
            <w:pPr>
              <w:spacing w:before="60" w:after="60"/>
            </w:pPr>
            <w:r>
              <w:rPr>
                <w:b/>
              </w:rPr>
              <w:t>What we will not use</w:t>
            </w:r>
          </w:p>
        </w:tc>
        <w:tc>
          <w:tcPr>
            <w:tcW w:type="dxa" w:w="1361"/>
            <w:shd w:val="clear" w:color="auto" w:fill="F7F0FB"/>
          </w:tcPr>
          <w:p>
            <w:pPr>
              <w:spacing w:before="60" w:after="60"/>
            </w:pPr>
            <w:r>
              <w:t>Autonomy</w:t>
            </w:r>
          </w:p>
        </w:tc>
        <w:tc>
          <w:tcPr>
            <w:tcW w:type="dxa" w:w="5669"/>
            <w:shd w:val="clear" w:color="auto" w:fill="F7F0FB"/>
          </w:tcPr>
          <w:p>
            <w:pPr>
              <w:spacing w:before="60" w:after="60"/>
            </w:pPr>
            <w:r/>
          </w:p>
        </w:tc>
      </w:tr>
      <w:tr>
        <w:trPr>
          <w:cantSplit w:val="true"/>
          <w:trHeight w:val="709"/>
        </w:trPr>
        <w:tc>
          <w:tcPr>
            <w:tcW w:type="dxa" w:w="2608"/>
          </w:tcPr>
          <w:p>
            <w:pPr>
              <w:spacing w:before="60" w:after="60"/>
            </w:pPr>
            <w:r>
              <w:rPr>
                <w:b/>
              </w:rPr>
              <w:t>How we will check it worked</w:t>
            </w:r>
          </w:p>
        </w:tc>
        <w:tc>
          <w:tcPr>
            <w:tcW w:type="dxa" w:w="1361"/>
          </w:tcPr>
          <w:p>
            <w:pPr>
              <w:spacing w:before="60" w:after="60"/>
            </w:pPr>
            <w:r>
              <w:t>All</w:t>
            </w:r>
          </w:p>
        </w:tc>
        <w:tc>
          <w:tcPr>
            <w:tcW w:type="dxa" w:w="5669"/>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