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Planungsblatt zu den 5 Moments of Need</w:t>
      </w:r>
    </w:p>
    <w:p>
      <w:r>
        <w:rPr>
          <w:color w:val="5A5766"/>
          <w:sz w:val="22"/>
        </w:rPr>
        <w:t>Für die Planung der Hilfe bei einer Tätigkeit: eine Aufgabenliste, in der Sie bewerten, was ein Fehler kosten würde, und entscheiden, was in die Schulung gehört, danach eine Zeile für jeden der fünf Momente (New, More, Apply, Solve und Change). Eine Adaption der 5 Moments of Need von Conrad Gottfredson und Bob Mosher durch Coursebox, nicht ihr Arbeitsblatt und nicht ihre kostenpflichtige Workflow-Analyse, ohne Punktzahl. Als Beispiel ist der Störungsdienst eines hypothetischen Aufzugswartungsunternehmens ausgefüllt.</w:t>
      </w:r>
    </w:p>
    <w:p>
      <w:r>
        <w:rPr>
          <w:i/>
          <w:color w:val="5A5766"/>
          <w:sz w:val="18"/>
        </w:rPr>
        <w:t>Aus dem Coursebox-Blog: coursebox.ai/de/blog/funf-momente-der-not-beim-lernen</w:t>
      </w:r>
    </w:p>
    <w:p>
      <w:pPr>
        <w:keepNext/>
        <w:spacing w:before="240" w:after="80"/>
      </w:pPr>
      <w:r>
        <w:rPr>
          <w:b/>
          <w:color w:val="5D008F"/>
          <w:sz w:val="28"/>
        </w:rPr>
        <w:t>So nutzen Sie dieses Blatt</w:t>
      </w:r>
    </w:p>
    <w:p>
      <w:pPr>
        <w:pStyle w:val="ListBullet"/>
      </w:pPr>
      <w:r>
        <w:t>Verwenden Sie pro Tätigkeit ein Blatt, etwa für einen Störungseinsatz oder die Bearbeitung einer Erstattung. Beschreiben Sie die Tätigkeit von Anfang bis Ende, in der tatsächlichen Reihenfolge.</w:t>
      </w:r>
    </w:p>
    <w:p>
      <w:pPr>
        <w:pStyle w:val="ListBullet"/>
      </w:pPr>
      <w:r>
        <w:t>Teil 1: Listen Sie die Aufgaben auf und bewerten Sie, was ein Fehler kosten würde. Hoch bedeutet Verletzungen oder kaum behebbare Schäden. Prüfen Sie die Voraussetzungen der Lernenden separat, denn Erfahrung beseitigt keine Sicherheitsfolgen. Gottfredson und Mosher nennen das Critical Impact of Failure, die kritischen Folgen eines Fehlers.</w:t>
      </w:r>
    </w:p>
    <w:p>
      <w:pPr>
        <w:pStyle w:val="ListBullet"/>
      </w:pPr>
      <w:r>
        <w:t>Entscheiden Sie anhand von Fehlerfolgen, Voraussetzungen und Aufgabenfreigabe über Übung und Abnahme vor dem selbstständigen Arbeiten. Für risikoärmere Aufgaben können Job Aids passen, mit geeigneter Unterstützung und Eskalation.</w:t>
      </w:r>
    </w:p>
    <w:p>
      <w:pPr>
        <w:pStyle w:val="ListBullet"/>
      </w:pPr>
      <w:r>
        <w:t>Teil 2: Notieren Sie für jeden Moment, was die Person tut, wo sie sich befindet, welche Unterstützung sie bekommt und wie Sie prüfen, ob diese wirkt. Planen Sie zuerst die Hilfe für Apply und entscheiden Sie dann, wofür es noch einen Kurs braucht.</w:t>
      </w:r>
    </w:p>
    <w:p>
      <w:pPr>
        <w:pStyle w:val="ListBullet"/>
      </w:pPr>
      <w:r>
        <w:t>Nutzen Sie die aktuellen genehmigten Hersteller- und Standortverfahren, die Aufgabenfreigabe und den Eskalationsweg. Testen Sie die Benutzbarkeit zuerst in einer kontrollierten Umgebung. Das Aufzugsbeispiel ist hypothetisch, Verfahren und Fehlercode dienen nur der Veranschaulichung.</w:t>
      </w:r>
    </w:p>
    <w:p>
      <w:pPr>
        <w:keepNext/>
        <w:spacing w:before="240" w:after="80"/>
      </w:pPr>
      <w:r>
        <w:rPr>
          <w:b/>
          <w:color w:val="5D008F"/>
          <w:sz w:val="28"/>
        </w:rPr>
        <w:t>Teil 1. Aufgabenliste und was ein Fehler kosten würde (Beispiel)</w:t>
      </w:r>
    </w:p>
    <w:p>
      <w:r>
        <w:t>Beispieltätigkeit: einen Störungseinsatz an einem Aufzug durchführen und den Aufzug wieder in Betrieb nehmen, für Techniker, die erstmals in den Störungsdienst eines Aufzugsunternehmens kommen. Ein Senior-Techniker nimmt ihre ersten Einsätze ab. Ab dem 1. März rufen sie vor jeder Personenbefreiung die Leitstelle an und schließen Einsatzberichte in der App mit einem Foto des Schlosses ab.</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608"/>
            <w:shd w:val="clear" w:color="auto" w:fill="5D008F"/>
          </w:tcPr>
          <w:p>
            <w:pPr>
              <w:spacing w:before="60" w:after="60"/>
            </w:pPr>
            <w:r>
              <w:rPr>
                <w:color w:val="FFFFFF"/>
              </w:rPr>
            </w:r>
            <w:r>
              <w:rPr>
                <w:b/>
                <w:color w:val="FFFFFF"/>
              </w:rPr>
              <w:t>Aufgabe, der Reihe nach</w:t>
            </w:r>
          </w:p>
        </w:tc>
        <w:tc>
          <w:tcPr>
            <w:tcW w:type="dxa" w:w="2608"/>
            <w:shd w:val="clear" w:color="auto" w:fill="5D008F"/>
          </w:tcPr>
          <w:p>
            <w:pPr>
              <w:spacing w:before="60" w:after="60"/>
            </w:pPr>
            <w:r>
              <w:rPr>
                <w:color w:val="FFFFFF"/>
              </w:rPr>
            </w:r>
            <w:r>
              <w:rPr>
                <w:b/>
                <w:color w:val="FFFFFF"/>
              </w:rPr>
              <w:t>Was ein Fehler kosten würde</w:t>
            </w:r>
          </w:p>
        </w:tc>
        <w:tc>
          <w:tcPr>
            <w:tcW w:type="dxa" w:w="1134"/>
            <w:shd w:val="clear" w:color="auto" w:fill="5D008F"/>
          </w:tcPr>
          <w:p>
            <w:pPr>
              <w:spacing w:before="60" w:after="60"/>
            </w:pPr>
            <w:r>
              <w:rPr>
                <w:color w:val="FFFFFF"/>
              </w:rPr>
            </w:r>
            <w:r>
              <w:rPr>
                <w:b/>
                <w:color w:val="FFFFFF"/>
              </w:rPr>
              <w:t>Hoch oder niedrig</w:t>
            </w:r>
          </w:p>
        </w:tc>
        <w:tc>
          <w:tcPr>
            <w:tcW w:type="dxa" w:w="3288"/>
            <w:shd w:val="clear" w:color="auto" w:fill="5D008F"/>
          </w:tcPr>
          <w:p>
            <w:pPr>
              <w:spacing w:before="60" w:after="60"/>
            </w:pPr>
            <w:r>
              <w:rPr>
                <w:color w:val="FFFFFF"/>
              </w:rPr>
            </w:r>
            <w:r>
              <w:rPr>
                <w:b/>
                <w:color w:val="FFFFFF"/>
              </w:rPr>
              <w:t>Wohin die Aufgabe gehört</w:t>
            </w:r>
          </w:p>
        </w:tc>
      </w:tr>
      <w:tr>
        <w:trPr>
          <w:cantSplit w:val="true"/>
        </w:trPr>
        <w:tc>
          <w:tcPr>
            <w:tcW w:type="dxa" w:w="2608"/>
          </w:tcPr>
          <w:p>
            <w:pPr>
              <w:spacing w:before="60" w:after="60"/>
            </w:pPr>
            <w:r>
              <w:rPr>
                <w:b/>
              </w:rPr>
              <w:t>Prüfen, ob jemand eingeschlossen ist, und die Leitstelle anrufen</w:t>
            </w:r>
          </w:p>
        </w:tc>
        <w:tc>
          <w:tcPr>
            <w:tcW w:type="dxa" w:w="2608"/>
          </w:tcPr>
          <w:p>
            <w:pPr>
              <w:spacing w:before="60" w:after="60"/>
            </w:pPr>
            <w:r>
              <w:t>Ein übersehener Fahrgast oder ein verspäteter Anruf bringt Menschen in Gefahr</w:t>
            </w:r>
          </w:p>
        </w:tc>
        <w:tc>
          <w:tcPr>
            <w:tcW w:type="dxa" w:w="1134"/>
          </w:tcPr>
          <w:p>
            <w:pPr>
              <w:spacing w:before="60" w:after="60"/>
            </w:pPr>
            <w:r>
              <w:t>Hoch</w:t>
            </w:r>
          </w:p>
        </w:tc>
        <w:tc>
          <w:tcPr>
            <w:tcW w:type="dxa" w:w="3288"/>
          </w:tcPr>
          <w:p>
            <w:pPr>
              <w:spacing w:before="60" w:after="60"/>
            </w:pPr>
            <w:r>
              <w:t>Kurs und Abnahme, danach auf der Einsatzkarte</w:t>
            </w:r>
          </w:p>
        </w:tc>
      </w:tr>
      <w:tr>
        <w:trPr>
          <w:cantSplit w:val="true"/>
        </w:trPr>
        <w:tc>
          <w:tcPr>
            <w:tcW w:type="dxa" w:w="2608"/>
            <w:shd w:val="clear" w:color="auto" w:fill="F7F0FB"/>
          </w:tcPr>
          <w:p>
            <w:pPr>
              <w:spacing w:before="60" w:after="60"/>
            </w:pPr>
            <w:r>
              <w:rPr>
                <w:b/>
              </w:rPr>
              <w:t>Personenbefreiung</w:t>
            </w:r>
          </w:p>
        </w:tc>
        <w:tc>
          <w:tcPr>
            <w:tcW w:type="dxa" w:w="2608"/>
            <w:shd w:val="clear" w:color="auto" w:fill="F7F0FB"/>
          </w:tcPr>
          <w:p>
            <w:pPr>
              <w:spacing w:before="60" w:after="60"/>
            </w:pPr>
            <w:r>
              <w:t>Ein Fehler kann zu Verletzungen oder zum Tod führen</w:t>
            </w:r>
          </w:p>
        </w:tc>
        <w:tc>
          <w:tcPr>
            <w:tcW w:type="dxa" w:w="1134"/>
            <w:shd w:val="clear" w:color="auto" w:fill="F7F0FB"/>
          </w:tcPr>
          <w:p>
            <w:pPr>
              <w:spacing w:before="60" w:after="60"/>
            </w:pPr>
            <w:r>
              <w:t>Hoch</w:t>
            </w:r>
          </w:p>
        </w:tc>
        <w:tc>
          <w:tcPr>
            <w:tcW w:type="dxa" w:w="3288"/>
            <w:shd w:val="clear" w:color="auto" w:fill="F7F0FB"/>
          </w:tcPr>
          <w:p>
            <w:pPr>
              <w:spacing w:before="60" w:after="60"/>
            </w:pPr>
            <w:r>
              <w:t>Am Trainingsturm geübt und vom Senior-Techniker abgenommen; der Kurs allein vermittelt das nicht</w:t>
            </w:r>
          </w:p>
        </w:tc>
      </w:tr>
      <w:tr>
        <w:trPr>
          <w:cantSplit w:val="true"/>
        </w:trPr>
        <w:tc>
          <w:tcPr>
            <w:tcW w:type="dxa" w:w="2608"/>
          </w:tcPr>
          <w:p>
            <w:pPr>
              <w:spacing w:before="60" w:after="60"/>
            </w:pPr>
            <w:r>
              <w:rPr>
                <w:b/>
              </w:rPr>
              <w:t>Freischalten und Sichern vor jeder Arbeit</w:t>
            </w:r>
          </w:p>
        </w:tc>
        <w:tc>
          <w:tcPr>
            <w:tcW w:type="dxa" w:w="2608"/>
          </w:tcPr>
          <w:p>
            <w:pPr>
              <w:spacing w:before="60" w:after="60"/>
            </w:pPr>
            <w:r>
              <w:t>Ein Fehler kann zu Verletzungen oder zum Tod führen</w:t>
            </w:r>
          </w:p>
        </w:tc>
        <w:tc>
          <w:tcPr>
            <w:tcW w:type="dxa" w:w="1134"/>
          </w:tcPr>
          <w:p>
            <w:pPr>
              <w:spacing w:before="60" w:after="60"/>
            </w:pPr>
            <w:r>
              <w:t>Hoch</w:t>
            </w:r>
          </w:p>
        </w:tc>
        <w:tc>
          <w:tcPr>
            <w:tcW w:type="dxa" w:w="3288"/>
          </w:tcPr>
          <w:p>
            <w:pPr>
              <w:spacing w:before="60" w:after="60"/>
            </w:pPr>
            <w:r>
              <w:t>Geübt und abgenommen, danach auf der Einsatzkarte mit Foto des Schlosses</w:t>
            </w:r>
          </w:p>
        </w:tc>
      </w:tr>
      <w:tr>
        <w:trPr>
          <w:cantSplit w:val="true"/>
        </w:trPr>
        <w:tc>
          <w:tcPr>
            <w:tcW w:type="dxa" w:w="2608"/>
            <w:shd w:val="clear" w:color="auto" w:fill="F7F0FB"/>
          </w:tcPr>
          <w:p>
            <w:pPr>
              <w:spacing w:before="60" w:after="60"/>
            </w:pPr>
            <w:r>
              <w:rPr>
                <w:b/>
              </w:rPr>
              <w:t>Fehlercode lesen und Fehler 41 durcharbeiten</w:t>
            </w:r>
          </w:p>
        </w:tc>
        <w:tc>
          <w:tcPr>
            <w:tcW w:type="dxa" w:w="2608"/>
            <w:shd w:val="clear" w:color="auto" w:fill="F7F0FB"/>
          </w:tcPr>
          <w:p>
            <w:pPr>
              <w:spacing w:before="60" w:after="60"/>
            </w:pPr>
            <w:r>
              <w:t>Die Folgen von Diagnose oder Eingriff bewerten; eine Stopp-Regel allein macht die Aufgabe nicht risikoarm</w:t>
            </w:r>
          </w:p>
        </w:tc>
        <w:tc>
          <w:tcPr>
            <w:tcW w:type="dxa" w:w="1134"/>
            <w:shd w:val="clear" w:color="auto" w:fill="F7F0FB"/>
          </w:tcPr>
          <w:p>
            <w:pPr>
              <w:spacing w:before="60" w:after="60"/>
            </w:pPr>
            <w:r>
              <w:t>Risiko prüfen</w:t>
            </w:r>
          </w:p>
        </w:tc>
        <w:tc>
          <w:tcPr>
            <w:tcW w:type="dxa" w:w="3288"/>
            <w:shd w:val="clear" w:color="auto" w:fill="F7F0FB"/>
          </w:tcPr>
          <w:p>
            <w:pPr>
              <w:spacing w:before="60" w:after="60"/>
            </w:pPr>
            <w:r>
              <w:t>Troubleshooting-Leitfaden zu Fehler 41, genutzt an der Steuerung</w:t>
            </w:r>
          </w:p>
        </w:tc>
      </w:tr>
      <w:tr>
        <w:trPr>
          <w:cantSplit w:val="true"/>
        </w:trPr>
        <w:tc>
          <w:tcPr>
            <w:tcW w:type="dxa" w:w="2608"/>
          </w:tcPr>
          <w:p>
            <w:pPr>
              <w:spacing w:before="60" w:after="60"/>
            </w:pPr>
            <w:r>
              <w:rPr>
                <w:b/>
              </w:rPr>
              <w:t>Einsatzbericht in der App abschließen</w:t>
            </w:r>
          </w:p>
        </w:tc>
        <w:tc>
          <w:tcPr>
            <w:tcW w:type="dxa" w:w="2608"/>
          </w:tcPr>
          <w:p>
            <w:pPr>
              <w:spacing w:before="60" w:after="60"/>
            </w:pPr>
            <w:r>
              <w:t>Nachvollziehbarkeit und Freigabekontrollen</w:t>
            </w:r>
          </w:p>
        </w:tc>
        <w:tc>
          <w:tcPr>
            <w:tcW w:type="dxa" w:w="1134"/>
          </w:tcPr>
          <w:p>
            <w:pPr>
              <w:spacing w:before="60" w:after="60"/>
            </w:pPr>
            <w:r>
              <w:t>Risiko prüfen</w:t>
            </w:r>
          </w:p>
        </w:tc>
        <w:tc>
          <w:tcPr>
            <w:tcW w:type="dxa" w:w="3288"/>
          </w:tcPr>
          <w:p>
            <w:pPr>
              <w:spacing w:before="60" w:after="60"/>
            </w:pPr>
            <w:r>
              <w:t>Einsatzkarte und das Update zum 1. März</w:t>
            </w:r>
          </w:p>
        </w:tc>
      </w:tr>
    </w:tbl>
    <w:p>
      <w:pPr>
        <w:keepNext/>
        <w:pageBreakBefore/>
        <w:spacing w:before="240" w:after="80"/>
      </w:pPr>
      <w:r>
        <w:rPr>
          <w:b/>
          <w:color w:val="5D008F"/>
          <w:sz w:val="28"/>
        </w:rPr>
        <w:t>Teil 2. Die fünf Momente (Beispiel)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304"/>
            <w:shd w:val="clear" w:color="auto" w:fill="5D008F"/>
          </w:tcPr>
          <w:p>
            <w:pPr>
              <w:spacing w:before="60" w:after="60"/>
            </w:pPr>
            <w:r>
              <w:rPr>
                <w:color w:val="FFFFFF"/>
              </w:rPr>
            </w:r>
            <w:r>
              <w:rPr>
                <w:b/>
                <w:color w:val="FFFFFF"/>
              </w:rPr>
              <w:t>Moment</w:t>
            </w:r>
          </w:p>
        </w:tc>
        <w:tc>
          <w:tcPr>
            <w:tcW w:type="dxa" w:w="2608"/>
            <w:shd w:val="clear" w:color="auto" w:fill="5D008F"/>
          </w:tcPr>
          <w:p>
            <w:pPr>
              <w:spacing w:before="60" w:after="60"/>
            </w:pPr>
            <w:r>
              <w:rPr>
                <w:color w:val="FFFFFF"/>
              </w:rPr>
            </w:r>
            <w:r>
              <w:rPr>
                <w:b/>
                <w:color w:val="FFFFFF"/>
              </w:rPr>
              <w:t>Was die Person tut, und wo</w:t>
            </w:r>
          </w:p>
        </w:tc>
        <w:tc>
          <w:tcPr>
            <w:tcW w:type="dxa" w:w="3005"/>
            <w:shd w:val="clear" w:color="auto" w:fill="5D008F"/>
          </w:tcPr>
          <w:p>
            <w:pPr>
              <w:spacing w:before="60" w:after="60"/>
            </w:pPr>
            <w:r>
              <w:rPr>
                <w:color w:val="FFFFFF"/>
              </w:rPr>
            </w:r>
            <w:r>
              <w:rPr>
                <w:b/>
                <w:color w:val="FFFFFF"/>
              </w:rPr>
              <w:t>Die Unterstützung</w:t>
            </w:r>
          </w:p>
        </w:tc>
        <w:tc>
          <w:tcPr>
            <w:tcW w:type="dxa" w:w="2721"/>
            <w:shd w:val="clear" w:color="auto" w:fill="5D008F"/>
          </w:tcPr>
          <w:p>
            <w:pPr>
              <w:spacing w:before="60" w:after="60"/>
            </w:pPr>
            <w:r>
              <w:rPr>
                <w:color w:val="FFFFFF"/>
              </w:rPr>
            </w:r>
            <w:r>
              <w:rPr>
                <w:b/>
                <w:color w:val="FFFFFF"/>
              </w:rPr>
              <w:t>Wie Sie die Wirkung prüfen</w:t>
            </w:r>
          </w:p>
        </w:tc>
      </w:tr>
      <w:tr>
        <w:trPr>
          <w:cantSplit w:val="true"/>
        </w:trPr>
        <w:tc>
          <w:tcPr>
            <w:tcW w:type="dxa" w:w="1304"/>
          </w:tcPr>
          <w:p>
            <w:pPr>
              <w:spacing w:before="60" w:after="60"/>
            </w:pPr>
            <w:r>
              <w:rPr>
                <w:b/>
              </w:rPr>
              <w:t>New: etwas zum ersten Mal lernen</w:t>
            </w:r>
          </w:p>
        </w:tc>
        <w:tc>
          <w:tcPr>
            <w:tcW w:type="dxa" w:w="2608"/>
          </w:tcPr>
          <w:p>
            <w:pPr>
              <w:spacing w:before="60" w:after="60"/>
            </w:pPr>
            <w:r>
              <w:t>Vorbereitung auf die erste Nacht im Dienstplan, in der Niederlassung und am Trainingsturm</w:t>
            </w:r>
          </w:p>
        </w:tc>
        <w:tc>
          <w:tcPr>
            <w:tcW w:type="dxa" w:w="3005"/>
          </w:tcPr>
          <w:p>
            <w:pPr>
              <w:spacing w:before="60" w:after="60"/>
            </w:pPr>
            <w:r>
              <w:t>Kurzer Kurs dazu, was ein Einsatz umfasst und warum das Freischalten vor der Diagnose kommt; Üben am Trainingsturm; begleitete Einsätze, bis die Einsatzbereitschaft nachgewiesen ist</w:t>
            </w:r>
          </w:p>
        </w:tc>
        <w:tc>
          <w:tcPr>
            <w:tcW w:type="dxa" w:w="2721"/>
          </w:tcPr>
          <w:p>
            <w:pPr>
              <w:spacing w:before="60" w:after="60"/>
            </w:pPr>
            <w:r>
              <w:t>Der Senior-Techniker beobachtet Befreiung und Freischaltung und nimmt sie anschließend ab</w:t>
            </w:r>
          </w:p>
        </w:tc>
      </w:tr>
      <w:tr>
        <w:trPr>
          <w:cantSplit w:val="true"/>
        </w:trPr>
        <w:tc>
          <w:tcPr>
            <w:tcW w:type="dxa" w:w="1304"/>
            <w:shd w:val="clear" w:color="auto" w:fill="F7F0FB"/>
          </w:tcPr>
          <w:p>
            <w:pPr>
              <w:spacing w:before="60" w:after="60"/>
            </w:pPr>
            <w:r>
              <w:rPr>
                <w:b/>
              </w:rPr>
              <w:t>More: mehr lernen, sobald die Grundlagen sitzen</w:t>
            </w:r>
          </w:p>
        </w:tc>
        <w:tc>
          <w:tcPr>
            <w:tcW w:type="dxa" w:w="2608"/>
            <w:shd w:val="clear" w:color="auto" w:fill="F7F0FB"/>
          </w:tcPr>
          <w:p>
            <w:pPr>
              <w:spacing w:before="60" w:after="60"/>
            </w:pPr>
            <w:r>
              <w:t>Aufzüge mit der zweiten Steuerungsfamilie übernehmen, sobald der Techniker bereit ist und sie ihm zugewiesen werden</w:t>
            </w:r>
          </w:p>
        </w:tc>
        <w:tc>
          <w:tcPr>
            <w:tcW w:type="dxa" w:w="3005"/>
            <w:shd w:val="clear" w:color="auto" w:fill="F7F0FB"/>
          </w:tcPr>
          <w:p>
            <w:pPr>
              <w:spacing w:before="60" w:after="60"/>
            </w:pPr>
            <w:r>
              <w:t>Kurzes Modul zur zweiten Steuerungsfamilie und zum Lesen der Fehlerhistorie einer Steuerung</w:t>
            </w:r>
          </w:p>
        </w:tc>
        <w:tc>
          <w:tcPr>
            <w:tcW w:type="dxa" w:w="2721"/>
            <w:shd w:val="clear" w:color="auto" w:fill="F7F0FB"/>
          </w:tcPr>
          <w:p>
            <w:pPr>
              <w:spacing w:before="60" w:after="60"/>
            </w:pPr>
            <w:r>
              <w:t>Der Senior-Techniker geht bei einem echten Einsatz eine Fehlerhistorie mit dem Techniker durch</w:t>
            </w:r>
          </w:p>
        </w:tc>
      </w:tr>
      <w:tr>
        <w:trPr>
          <w:cantSplit w:val="true"/>
        </w:trPr>
        <w:tc>
          <w:tcPr>
            <w:tcW w:type="dxa" w:w="1304"/>
          </w:tcPr>
          <w:p>
            <w:pPr>
              <w:spacing w:before="60" w:after="60"/>
            </w:pPr>
            <w:r>
              <w:rPr>
                <w:b/>
              </w:rPr>
              <w:t>Apply: die Tätigkeit ausüben</w:t>
            </w:r>
          </w:p>
        </w:tc>
        <w:tc>
          <w:tcPr>
            <w:tcW w:type="dxa" w:w="2608"/>
          </w:tcPr>
          <w:p>
            <w:pPr>
              <w:spacing w:before="60" w:after="60"/>
            </w:pPr>
            <w:r>
              <w:t>Allein einen Einsatz durchführen, oft nachts</w:t>
            </w:r>
          </w:p>
        </w:tc>
        <w:tc>
          <w:tcPr>
            <w:tcW w:type="dxa" w:w="3005"/>
          </w:tcPr>
          <w:p>
            <w:pPr>
              <w:spacing w:before="60" w:after="60"/>
            </w:pPr>
            <w:r>
              <w:t>Einsatzkarte auf dem Handy, die auf einen Bildschirm passt, in vier Gruppen: Bei der Ankunft, Vor der Arbeit, Vor der Wiederinbetriebnahme, Zum Abschluss</w:t>
            </w:r>
          </w:p>
        </w:tc>
        <w:tc>
          <w:tcPr>
            <w:tcW w:type="dxa" w:w="2721"/>
          </w:tcPr>
          <w:p>
            <w:pPr>
              <w:spacing w:before="60" w:after="60"/>
            </w:pPr>
            <w:r>
              <w:t>Bei den ersten Einsätzen prüft der Senior-Techniker, ob die Karte an jedem Punkt genutzt wurde</w:t>
            </w:r>
          </w:p>
        </w:tc>
      </w:tr>
      <w:tr>
        <w:trPr>
          <w:cantSplit w:val="true"/>
        </w:trPr>
        <w:tc>
          <w:tcPr>
            <w:tcW w:type="dxa" w:w="1304"/>
            <w:shd w:val="clear" w:color="auto" w:fill="F7F0FB"/>
          </w:tcPr>
          <w:p>
            <w:pPr>
              <w:spacing w:before="60" w:after="60"/>
            </w:pPr>
            <w:r>
              <w:rPr>
                <w:b/>
              </w:rPr>
              <w:t>Solve: etwas geht schief</w:t>
            </w:r>
          </w:p>
        </w:tc>
        <w:tc>
          <w:tcPr>
            <w:tcW w:type="dxa" w:w="2608"/>
            <w:shd w:val="clear" w:color="auto" w:fill="F7F0FB"/>
          </w:tcPr>
          <w:p>
            <w:pPr>
              <w:spacing w:before="60" w:after="60"/>
            </w:pPr>
            <w:r>
              <w:t>An der Steuerung, vor Fehler 41</w:t>
            </w:r>
          </w:p>
        </w:tc>
        <w:tc>
          <w:tcPr>
            <w:tcW w:type="dxa" w:w="3005"/>
            <w:shd w:val="clear" w:color="auto" w:fill="F7F0FB"/>
          </w:tcPr>
          <w:p>
            <w:pPr>
              <w:spacing w:before="60" w:after="60"/>
            </w:pPr>
            <w:r>
              <w:t>Ja-Nein-Troubleshooting-Leitfaden in fester Reihenfolge, der endet mit: Anlage sichern, Aufzug außer Betrieb lassen und den Senior-Techniker anrufen</w:t>
            </w:r>
          </w:p>
        </w:tc>
        <w:tc>
          <w:tcPr>
            <w:tcW w:type="dxa" w:w="2721"/>
            <w:shd w:val="clear" w:color="auto" w:fill="F7F0FB"/>
          </w:tcPr>
          <w:p>
            <w:pPr>
              <w:spacing w:before="60" w:after="60"/>
            </w:pPr>
            <w:r>
              <w:t>Ein freigegebener Techniker probiert ihn in einer kontrollierten Schulung aus, eine erfahrene Fachkraft prüft mit</w:t>
            </w:r>
          </w:p>
        </w:tc>
      </w:tr>
      <w:tr>
        <w:trPr>
          <w:cantSplit w:val="true"/>
        </w:trPr>
        <w:tc>
          <w:tcPr>
            <w:tcW w:type="dxa" w:w="1304"/>
          </w:tcPr>
          <w:p>
            <w:pPr>
              <w:spacing w:before="60" w:after="60"/>
            </w:pPr>
            <w:r>
              <w:rPr>
                <w:b/>
              </w:rPr>
              <w:t>Change: eine neue Arbeitsweise</w:t>
            </w:r>
          </w:p>
        </w:tc>
        <w:tc>
          <w:tcPr>
            <w:tcW w:type="dxa" w:w="2608"/>
          </w:tcPr>
          <w:p>
            <w:pPr>
              <w:spacing w:before="60" w:after="60"/>
            </w:pPr>
            <w:r>
              <w:t>Nach dem 1. März auf die neue Art arbeiten</w:t>
            </w:r>
          </w:p>
        </w:tc>
        <w:tc>
          <w:tcPr>
            <w:tcW w:type="dxa" w:w="3005"/>
          </w:tcPr>
          <w:p>
            <w:pPr>
              <w:spacing w:before="60" w:after="60"/>
            </w:pPr>
            <w:r>
              <w:t>Zweiminütiges Update: die beiden Änderungen, die Gründe, die alte Vorgehensweise und die Einsatzkarte mit markierten geänderten Schritten</w:t>
            </w:r>
          </w:p>
        </w:tc>
        <w:tc>
          <w:tcPr>
            <w:tcW w:type="dxa" w:w="2721"/>
          </w:tcPr>
          <w:p>
            <w:pPr>
              <w:spacing w:before="60" w:after="60"/>
            </w:pPr>
            <w:r>
              <w:t>Die Protokolle der Leitstelle zeigen die Anrufe vor Beginn der Befreiungen; die App zeigt Aufträge, die mit einem Foto des Schlosses abgeschlossen wurden</w:t>
            </w:r>
          </w:p>
        </w:tc>
      </w:tr>
    </w:tbl>
    <w:p>
      <w:pPr>
        <w:keepNext/>
        <w:pageBreakBefore/>
        <w:spacing w:before="240" w:after="80"/>
      </w:pPr>
      <w:r>
        <w:rPr>
          <w:b/>
          <w:color w:val="5D008F"/>
          <w:sz w:val="28"/>
        </w:rPr>
        <w:t>Teil 1. Ihre Aufgabenliste</w:t>
      </w:r>
    </w:p>
    <w:p>
      <w:r>
        <w:t>Tätigkeit:</w:t>
      </w:r>
    </w:p>
    <w:p>
      <w:r>
        <w:t>Für wen der Plan gedacht ist und was diese Personen bereits können: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608"/>
            <w:shd w:val="clear" w:color="auto" w:fill="5D008F"/>
          </w:tcPr>
          <w:p>
            <w:pPr>
              <w:spacing w:before="60" w:after="60"/>
            </w:pPr>
            <w:r>
              <w:rPr>
                <w:color w:val="FFFFFF"/>
              </w:rPr>
            </w:r>
            <w:r>
              <w:rPr>
                <w:b/>
                <w:color w:val="FFFFFF"/>
              </w:rPr>
              <w:t>Aufgabe, der Reihe nach</w:t>
            </w:r>
          </w:p>
        </w:tc>
        <w:tc>
          <w:tcPr>
            <w:tcW w:type="dxa" w:w="2608"/>
            <w:shd w:val="clear" w:color="auto" w:fill="5D008F"/>
          </w:tcPr>
          <w:p>
            <w:pPr>
              <w:spacing w:before="60" w:after="60"/>
            </w:pPr>
            <w:r>
              <w:rPr>
                <w:color w:val="FFFFFF"/>
              </w:rPr>
            </w:r>
            <w:r>
              <w:rPr>
                <w:b/>
                <w:color w:val="FFFFFF"/>
              </w:rPr>
              <w:t>Was ein Fehler kosten würde</w:t>
            </w:r>
          </w:p>
        </w:tc>
        <w:tc>
          <w:tcPr>
            <w:tcW w:type="dxa" w:w="1134"/>
            <w:shd w:val="clear" w:color="auto" w:fill="5D008F"/>
          </w:tcPr>
          <w:p>
            <w:pPr>
              <w:spacing w:before="60" w:after="60"/>
            </w:pPr>
            <w:r>
              <w:rPr>
                <w:color w:val="FFFFFF"/>
              </w:rPr>
            </w:r>
            <w:r>
              <w:rPr>
                <w:b/>
                <w:color w:val="FFFFFF"/>
              </w:rPr>
              <w:t>Hoch oder niedrig</w:t>
            </w:r>
          </w:p>
        </w:tc>
        <w:tc>
          <w:tcPr>
            <w:tcW w:type="dxa" w:w="3288"/>
            <w:shd w:val="clear" w:color="auto" w:fill="5D008F"/>
          </w:tcPr>
          <w:p>
            <w:pPr>
              <w:spacing w:before="60" w:after="60"/>
            </w:pPr>
            <w:r>
              <w:rPr>
                <w:color w:val="FFFFFF"/>
              </w:rPr>
            </w:r>
            <w:r>
              <w:rPr>
                <w:b/>
                <w:color w:val="FFFFFF"/>
              </w:rPr>
              <w:t>Wohin die Aufgabe gehört</w:t>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r>
        <w:trPr>
          <w:cantSplit w:val="true"/>
          <w:trHeight w:val="964"/>
        </w:trPr>
        <w:tc>
          <w:tcPr>
            <w:tcW w:type="dxa" w:w="2608"/>
          </w:tcPr>
          <w:p>
            <w:pPr>
              <w:spacing w:before="60" w:after="60"/>
            </w:pPr>
            <w:r>
              <w:rPr>
                <w:b/>
              </w:rPr>
            </w:r>
          </w:p>
        </w:tc>
        <w:tc>
          <w:tcPr>
            <w:tcW w:type="dxa" w:w="2608"/>
          </w:tcPr>
          <w:p>
            <w:pPr>
              <w:spacing w:before="60" w:after="60"/>
            </w:pPr>
            <w:r/>
          </w:p>
        </w:tc>
        <w:tc>
          <w:tcPr>
            <w:tcW w:type="dxa" w:w="1134"/>
          </w:tcPr>
          <w:p>
            <w:pPr>
              <w:spacing w:before="60" w:after="60"/>
            </w:pPr>
            <w:r/>
          </w:p>
        </w:tc>
        <w:tc>
          <w:tcPr>
            <w:tcW w:type="dxa" w:w="3288"/>
          </w:tcPr>
          <w:p>
            <w:pPr>
              <w:spacing w:before="60" w:after="60"/>
            </w:pPr>
            <w:r/>
          </w:p>
        </w:tc>
      </w:tr>
      <w:tr>
        <w:trPr>
          <w:cantSplit w:val="true"/>
          <w:trHeight w:val="964"/>
        </w:trPr>
        <w:tc>
          <w:tcPr>
            <w:tcW w:type="dxa" w:w="2608"/>
            <w:shd w:val="clear" w:color="auto" w:fill="F7F0FB"/>
          </w:tcPr>
          <w:p>
            <w:pPr>
              <w:spacing w:before="60" w:after="60"/>
            </w:pPr>
            <w:r>
              <w:rPr>
                <w:b/>
              </w:rPr>
            </w:r>
          </w:p>
        </w:tc>
        <w:tc>
          <w:tcPr>
            <w:tcW w:type="dxa" w:w="2608"/>
            <w:shd w:val="clear" w:color="auto" w:fill="F7F0FB"/>
          </w:tcPr>
          <w:p>
            <w:pPr>
              <w:spacing w:before="60" w:after="60"/>
            </w:pPr>
            <w:r/>
          </w:p>
        </w:tc>
        <w:tc>
          <w:tcPr>
            <w:tcW w:type="dxa" w:w="1134"/>
            <w:shd w:val="clear" w:color="auto" w:fill="F7F0FB"/>
          </w:tcPr>
          <w:p>
            <w:pPr>
              <w:spacing w:before="60" w:after="60"/>
            </w:pPr>
            <w:r/>
          </w:p>
        </w:tc>
        <w:tc>
          <w:tcPr>
            <w:tcW w:type="dxa" w:w="3288"/>
            <w:shd w:val="clear" w:color="auto" w:fill="F7F0FB"/>
          </w:tcPr>
          <w:p>
            <w:pPr>
              <w:spacing w:before="60" w:after="60"/>
            </w:pPr>
            <w:r/>
          </w:p>
        </w:tc>
      </w:tr>
    </w:tbl>
    <w:p>
      <w:pPr>
        <w:keepNext/>
        <w:pageBreakBefore/>
        <w:spacing w:before="240" w:after="80"/>
      </w:pPr>
      <w:r>
        <w:rPr>
          <w:b/>
          <w:color w:val="5D008F"/>
          <w:sz w:val="28"/>
        </w:rPr>
        <w:t>Teil 2. Ihre fünf Momente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304"/>
            <w:shd w:val="clear" w:color="auto" w:fill="5D008F"/>
          </w:tcPr>
          <w:p>
            <w:pPr>
              <w:spacing w:before="60" w:after="60"/>
            </w:pPr>
            <w:r>
              <w:rPr>
                <w:color w:val="FFFFFF"/>
              </w:rPr>
            </w:r>
            <w:r>
              <w:rPr>
                <w:b/>
                <w:color w:val="FFFFFF"/>
              </w:rPr>
              <w:t>Moment</w:t>
            </w:r>
          </w:p>
        </w:tc>
        <w:tc>
          <w:tcPr>
            <w:tcW w:type="dxa" w:w="2608"/>
            <w:shd w:val="clear" w:color="auto" w:fill="5D008F"/>
          </w:tcPr>
          <w:p>
            <w:pPr>
              <w:spacing w:before="60" w:after="60"/>
            </w:pPr>
            <w:r>
              <w:rPr>
                <w:color w:val="FFFFFF"/>
              </w:rPr>
            </w:r>
            <w:r>
              <w:rPr>
                <w:b/>
                <w:color w:val="FFFFFF"/>
              </w:rPr>
              <w:t>Was die Person tut, und wo</w:t>
            </w:r>
          </w:p>
        </w:tc>
        <w:tc>
          <w:tcPr>
            <w:tcW w:type="dxa" w:w="3005"/>
            <w:shd w:val="clear" w:color="auto" w:fill="5D008F"/>
          </w:tcPr>
          <w:p>
            <w:pPr>
              <w:spacing w:before="60" w:after="60"/>
            </w:pPr>
            <w:r>
              <w:rPr>
                <w:color w:val="FFFFFF"/>
              </w:rPr>
            </w:r>
            <w:r>
              <w:rPr>
                <w:b/>
                <w:color w:val="FFFFFF"/>
              </w:rPr>
              <w:t>Die Unterstützung</w:t>
            </w:r>
          </w:p>
        </w:tc>
        <w:tc>
          <w:tcPr>
            <w:tcW w:type="dxa" w:w="2721"/>
            <w:shd w:val="clear" w:color="auto" w:fill="5D008F"/>
          </w:tcPr>
          <w:p>
            <w:pPr>
              <w:spacing w:before="60" w:after="60"/>
            </w:pPr>
            <w:r>
              <w:rPr>
                <w:color w:val="FFFFFF"/>
              </w:rPr>
            </w:r>
            <w:r>
              <w:rPr>
                <w:b/>
                <w:color w:val="FFFFFF"/>
              </w:rPr>
              <w:t>Wie Sie die Wirkung prüfen</w:t>
            </w:r>
          </w:p>
        </w:tc>
      </w:tr>
      <w:tr>
        <w:trPr>
          <w:cantSplit w:val="true"/>
          <w:trHeight w:val="1701"/>
        </w:trPr>
        <w:tc>
          <w:tcPr>
            <w:tcW w:type="dxa" w:w="1304"/>
          </w:tcPr>
          <w:p>
            <w:pPr>
              <w:spacing w:before="60" w:after="60"/>
            </w:pPr>
            <w:r>
              <w:rPr>
                <w:b/>
              </w:rPr>
              <w:t>New</w:t>
            </w:r>
          </w:p>
        </w:tc>
        <w:tc>
          <w:tcPr>
            <w:tcW w:type="dxa" w:w="2608"/>
          </w:tcPr>
          <w:p>
            <w:pPr>
              <w:spacing w:before="60" w:after="60"/>
            </w:pPr>
            <w:r/>
          </w:p>
        </w:tc>
        <w:tc>
          <w:tcPr>
            <w:tcW w:type="dxa" w:w="3005"/>
          </w:tcPr>
          <w:p>
            <w:pPr>
              <w:spacing w:before="60" w:after="60"/>
            </w:pPr>
            <w:r/>
          </w:p>
        </w:tc>
        <w:tc>
          <w:tcPr>
            <w:tcW w:type="dxa" w:w="2721"/>
          </w:tcPr>
          <w:p>
            <w:pPr>
              <w:spacing w:before="60" w:after="60"/>
            </w:pPr>
            <w:r/>
          </w:p>
        </w:tc>
      </w:tr>
      <w:tr>
        <w:trPr>
          <w:cantSplit w:val="true"/>
          <w:trHeight w:val="1701"/>
        </w:trPr>
        <w:tc>
          <w:tcPr>
            <w:tcW w:type="dxa" w:w="1304"/>
            <w:shd w:val="clear" w:color="auto" w:fill="F7F0FB"/>
          </w:tcPr>
          <w:p>
            <w:pPr>
              <w:spacing w:before="60" w:after="60"/>
            </w:pPr>
            <w:r>
              <w:rPr>
                <w:b/>
              </w:rPr>
              <w:t>More</w:t>
            </w:r>
          </w:p>
        </w:tc>
        <w:tc>
          <w:tcPr>
            <w:tcW w:type="dxa" w:w="2608"/>
            <w:shd w:val="clear" w:color="auto" w:fill="F7F0FB"/>
          </w:tcPr>
          <w:p>
            <w:pPr>
              <w:spacing w:before="60" w:after="60"/>
            </w:pPr>
            <w:r/>
          </w:p>
        </w:tc>
        <w:tc>
          <w:tcPr>
            <w:tcW w:type="dxa" w:w="3005"/>
            <w:shd w:val="clear" w:color="auto" w:fill="F7F0FB"/>
          </w:tcPr>
          <w:p>
            <w:pPr>
              <w:spacing w:before="60" w:after="60"/>
            </w:pPr>
            <w:r/>
          </w:p>
        </w:tc>
        <w:tc>
          <w:tcPr>
            <w:tcW w:type="dxa" w:w="2721"/>
            <w:shd w:val="clear" w:color="auto" w:fill="F7F0FB"/>
          </w:tcPr>
          <w:p>
            <w:pPr>
              <w:spacing w:before="60" w:after="60"/>
            </w:pPr>
            <w:r/>
          </w:p>
        </w:tc>
      </w:tr>
      <w:tr>
        <w:trPr>
          <w:cantSplit w:val="true"/>
          <w:trHeight w:val="1701"/>
        </w:trPr>
        <w:tc>
          <w:tcPr>
            <w:tcW w:type="dxa" w:w="1304"/>
          </w:tcPr>
          <w:p>
            <w:pPr>
              <w:spacing w:before="60" w:after="60"/>
            </w:pPr>
            <w:r>
              <w:rPr>
                <w:b/>
              </w:rPr>
              <w:t>Apply</w:t>
            </w:r>
          </w:p>
        </w:tc>
        <w:tc>
          <w:tcPr>
            <w:tcW w:type="dxa" w:w="2608"/>
          </w:tcPr>
          <w:p>
            <w:pPr>
              <w:spacing w:before="60" w:after="60"/>
            </w:pPr>
            <w:r/>
          </w:p>
        </w:tc>
        <w:tc>
          <w:tcPr>
            <w:tcW w:type="dxa" w:w="3005"/>
          </w:tcPr>
          <w:p>
            <w:pPr>
              <w:spacing w:before="60" w:after="60"/>
            </w:pPr>
            <w:r/>
          </w:p>
        </w:tc>
        <w:tc>
          <w:tcPr>
            <w:tcW w:type="dxa" w:w="2721"/>
          </w:tcPr>
          <w:p>
            <w:pPr>
              <w:spacing w:before="60" w:after="60"/>
            </w:pPr>
            <w:r/>
          </w:p>
        </w:tc>
      </w:tr>
      <w:tr>
        <w:trPr>
          <w:cantSplit w:val="true"/>
          <w:trHeight w:val="1701"/>
        </w:trPr>
        <w:tc>
          <w:tcPr>
            <w:tcW w:type="dxa" w:w="1304"/>
            <w:shd w:val="clear" w:color="auto" w:fill="F7F0FB"/>
          </w:tcPr>
          <w:p>
            <w:pPr>
              <w:spacing w:before="60" w:after="60"/>
            </w:pPr>
            <w:r>
              <w:rPr>
                <w:b/>
              </w:rPr>
              <w:t>Solve</w:t>
            </w:r>
          </w:p>
        </w:tc>
        <w:tc>
          <w:tcPr>
            <w:tcW w:type="dxa" w:w="2608"/>
            <w:shd w:val="clear" w:color="auto" w:fill="F7F0FB"/>
          </w:tcPr>
          <w:p>
            <w:pPr>
              <w:spacing w:before="60" w:after="60"/>
            </w:pPr>
            <w:r/>
          </w:p>
        </w:tc>
        <w:tc>
          <w:tcPr>
            <w:tcW w:type="dxa" w:w="3005"/>
            <w:shd w:val="clear" w:color="auto" w:fill="F7F0FB"/>
          </w:tcPr>
          <w:p>
            <w:pPr>
              <w:spacing w:before="60" w:after="60"/>
            </w:pPr>
            <w:r/>
          </w:p>
        </w:tc>
        <w:tc>
          <w:tcPr>
            <w:tcW w:type="dxa" w:w="2721"/>
            <w:shd w:val="clear" w:color="auto" w:fill="F7F0FB"/>
          </w:tcPr>
          <w:p>
            <w:pPr>
              <w:spacing w:before="60" w:after="60"/>
            </w:pPr>
            <w:r/>
          </w:p>
        </w:tc>
      </w:tr>
      <w:tr>
        <w:trPr>
          <w:cantSplit w:val="true"/>
          <w:trHeight w:val="1701"/>
        </w:trPr>
        <w:tc>
          <w:tcPr>
            <w:tcW w:type="dxa" w:w="1304"/>
          </w:tcPr>
          <w:p>
            <w:pPr>
              <w:spacing w:before="60" w:after="60"/>
            </w:pPr>
            <w:r>
              <w:rPr>
                <w:b/>
              </w:rPr>
              <w:t>Change</w:t>
            </w:r>
          </w:p>
        </w:tc>
        <w:tc>
          <w:tcPr>
            <w:tcW w:type="dxa" w:w="2608"/>
          </w:tcPr>
          <w:p>
            <w:pPr>
              <w:spacing w:before="60" w:after="60"/>
            </w:pPr>
            <w:r/>
          </w:p>
        </w:tc>
        <w:tc>
          <w:tcPr>
            <w:tcW w:type="dxa" w:w="3005"/>
          </w:tcPr>
          <w:p>
            <w:pPr>
              <w:spacing w:before="60" w:after="60"/>
            </w:pPr>
            <w:r/>
          </w:p>
        </w:tc>
        <w:tc>
          <w:tcPr>
            <w:tcW w:type="dxa" w:w="2721"/>
          </w:tcPr>
          <w:p>
            <w:pPr>
              <w:spacing w:before="60" w:after="60"/>
            </w:pPr>
            <w:r/>
          </w:p>
        </w:tc>
      </w:tr>
    </w:tbl>
    <w:p>
      <w:pPr>
        <w:spacing w:before="160"/>
      </w:pPr>
      <w:r>
        <w:rPr>
          <w:i/>
          <w:color w:val="5A5766"/>
        </w:rPr>
        <w:t>Keine Punktzahl. Ein ausgefülltes Blatt ist ein Plan, kein Beleg dafür, dass die Hilfe wirkt. Prüfen Sie das, indem Sie beobachten, wie Menschen die Hilfe bei der Arbeit nutzen.</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kostenlose Vorlage  |  Seite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