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pPr>
      <w:r>
        <w:rPr>
          <w:b/>
          <w:color w:val="5D008F"/>
          <w:sz w:val="40"/>
        </w:rPr>
        <w:t>12-Week Graduate and Buddy Log</w:t>
      </w:r>
    </w:p>
    <w:p>
      <w:r>
        <w:rPr>
          <w:color w:val="5A5766"/>
          <w:sz w:val="22"/>
        </w:rPr>
        <w:t>A stage-by-stage plan for a newcomer's first 12 weeks, a weekly task log and the buddy's 15-minute check-in questions. A planning sheet by Coursebox drawing on Jean Lave and Etienne Wenger's idea of legitimate peripheral participation (Situated Learning, 1991). Lave and Wenger describe it as a way of understanding learning, not a teaching technique, so the stages, prompts and checks here are our adaptation, not their method. It gives no score and does not certify competence. A hypothetical building site is filled in as an example.</w:t>
      </w:r>
    </w:p>
    <w:p>
      <w:r>
        <w:rPr>
          <w:i/>
          <w:color w:val="5A5766"/>
          <w:sz w:val="18"/>
        </w:rPr>
        <w:t>From the Coursebox blog: coursebox.ai/blog/situated-learning-theory</w:t>
      </w:r>
    </w:p>
    <w:p>
      <w:pPr>
        <w:keepNext/>
        <w:spacing w:before="240" w:after="80"/>
      </w:pPr>
      <w:r>
        <w:rPr>
          <w:b/>
          <w:color w:val="5D008F"/>
          <w:sz w:val="28"/>
        </w:rPr>
        <w:t>How to use this log</w:t>
      </w:r>
    </w:p>
    <w:p>
      <w:pPr>
        <w:pStyle w:val="ListBullet"/>
      </w:pPr>
      <w:r>
        <w:t>Before week 1, the newcomer's buddy and manager fill in the stage plan together: the real tasks, who gives access, the records used and the check before moving on.</w:t>
      </w:r>
    </w:p>
    <w:p>
      <w:pPr>
        <w:pStyle w:val="ListBullet"/>
      </w:pPr>
      <w:r>
        <w:t>Pick first tasks that are part of the actual work, short and simple, with small costs of error. Paperwork that keeps the newcomer away from the work does not count.</w:t>
      </w:r>
    </w:p>
    <w:p>
      <w:pPr>
        <w:pStyle w:val="ListBullet"/>
      </w:pPr>
      <w:r>
        <w:t>Each week, the newcomer fills in one row of the weekly log: the real tasks done, who they did them with, one thing they noticed and one question.</w:t>
      </w:r>
    </w:p>
    <w:p>
      <w:pPr>
        <w:pStyle w:val="ListBullet"/>
      </w:pPr>
      <w:r>
        <w:t>The buddy holds a 15-minute check-in each week using the questions for the current stage, and decides with the manager when to hand over more of the work.</w:t>
      </w:r>
    </w:p>
    <w:p>
      <w:pPr>
        <w:pStyle w:val="ListBullet"/>
      </w:pPr>
      <w:r>
        <w:t>Move to the next stage when the check is met, not when a set number of weeks has passed. The weeks are a guide.</w:t>
      </w:r>
    </w:p>
    <w:p>
      <w:pPr>
        <w:pStyle w:val="ListBullet"/>
      </w:pPr>
      <w:r>
        <w:t>Safety and authority rules stay with the people who hold them. In this hypothetical company, the authorised senior engineer or site manager releases the hold point after the structural engineer's sign-off, never the graduate. Actual authority follows the approved ITP.</w:t>
      </w:r>
    </w:p>
    <w:p>
      <w:pPr>
        <w:keepNext/>
        <w:pageBreakBefore/>
        <w:spacing w:before="240" w:after="80"/>
      </w:pPr>
      <w:r>
        <w:rPr>
          <w:b/>
          <w:color w:val="5D008F"/>
          <w:sz w:val="28"/>
        </w:rPr>
        <w:t>Worked example: the stage plan</w:t>
      </w:r>
    </w:p>
    <w:p>
      <w:r>
        <w:t>Hypothetical example. A mid-size building company onboards graduate site engineers on one live site, a seven-storey apartment block at the level 3 slab. They have a civil engineering degree, the company's two-day induction and the site safety induction, but no time on a live site. Their buddy is a senior site engineer. By week 12 they should carry out a pre-pour slab inspection with the buddy reviewing, raise a nonconformance or a request for information (RFI), and know who on site to ask about what.</w:t>
      </w:r>
    </w:p>
    <w:tbl>
      <w:tblPr>
        <w:tblW w:type="auto" w:w="0"/>
        <w:jc w:val="center"/>
        <w:tblLook w:firstColumn="1" w:firstRow="1" w:lastColumn="0" w:lastRow="0" w:noHBand="0" w:noVBand="1" w:val="04A0"/>
        <w:tblBorders>
          <w:top w:val="single" w:sz="6" w:color="D9CCE3"/>
          <w:left w:val="single" w:sz="6" w:color="D9CCE3"/>
          <w:bottom w:val="single" w:sz="6" w:color="D9CCE3"/>
          <w:right w:val="single" w:sz="6" w:color="D9CCE3"/>
          <w:insideH w:val="single" w:sz="6" w:color="D9CCE3"/>
          <w:insideV w:val="single" w:sz="6" w:color="D9CCE3"/>
        </w:tblBorders>
      </w:tblPr>
      <w:tblGrid>
        <w:gridCol w:w="1994"/>
        <w:gridCol w:w="1994"/>
        <w:gridCol w:w="1994"/>
        <w:gridCol w:w="1994"/>
        <w:gridCol w:w="1994"/>
      </w:tblGrid>
      <w:tr>
        <w:trPr>
          <w:tblHeader w:val="true"/>
          <w:cantSplit w:val="true"/>
        </w:trPr>
        <w:tc>
          <w:tcPr>
            <w:tcW w:type="dxa" w:w="1474"/>
            <w:shd w:val="clear" w:color="auto" w:fill="5D008F"/>
          </w:tcPr>
          <w:p>
            <w:pPr>
              <w:spacing w:before="60" w:after="60"/>
            </w:pPr>
            <w:r/>
            <w:r>
              <w:rPr>
                <w:b/>
                <w:color w:val="FFFFFF"/>
              </w:rPr>
              <w:t>Stage</w:t>
            </w:r>
          </w:p>
        </w:tc>
        <w:tc>
          <w:tcPr>
            <w:tcW w:type="dxa" w:w="2948"/>
            <w:shd w:val="clear" w:color="auto" w:fill="5D008F"/>
          </w:tcPr>
          <w:p>
            <w:pPr>
              <w:spacing w:before="60" w:after="60"/>
            </w:pPr>
            <w:r/>
            <w:r>
              <w:rPr>
                <w:b/>
                <w:color w:val="FFFFFF"/>
              </w:rPr>
              <w:t>Real tasks on site</w:t>
            </w:r>
          </w:p>
        </w:tc>
        <w:tc>
          <w:tcPr>
            <w:tcW w:type="dxa" w:w="1701"/>
            <w:shd w:val="clear" w:color="auto" w:fill="5D008F"/>
          </w:tcPr>
          <w:p>
            <w:pPr>
              <w:spacing w:before="60" w:after="60"/>
            </w:pPr>
            <w:r/>
            <w:r>
              <w:rPr>
                <w:b/>
                <w:color w:val="FFFFFF"/>
              </w:rPr>
              <w:t>Who gives access</w:t>
            </w:r>
          </w:p>
        </w:tc>
        <w:tc>
          <w:tcPr>
            <w:tcW w:type="dxa" w:w="1701"/>
            <w:shd w:val="clear" w:color="auto" w:fill="5D008F"/>
          </w:tcPr>
          <w:p>
            <w:pPr>
              <w:spacing w:before="60" w:after="60"/>
            </w:pPr>
            <w:r/>
            <w:r>
              <w:rPr>
                <w:b/>
                <w:color w:val="FFFFFF"/>
              </w:rPr>
              <w:t>Records used</w:t>
            </w:r>
          </w:p>
        </w:tc>
        <w:tc>
          <w:tcPr>
            <w:tcW w:type="dxa" w:w="1814"/>
            <w:shd w:val="clear" w:color="auto" w:fill="5D008F"/>
          </w:tcPr>
          <w:p>
            <w:pPr>
              <w:spacing w:before="60" w:after="60"/>
            </w:pPr>
            <w:r/>
            <w:r>
              <w:rPr>
                <w:b/>
                <w:color w:val="FFFFFF"/>
              </w:rPr>
              <w:t>Check before moving on</w:t>
            </w:r>
          </w:p>
        </w:tc>
      </w:tr>
      <w:tr>
        <w:trPr>
          <w:cantSplit w:val="true"/>
        </w:trPr>
        <w:tc>
          <w:tcPr>
            <w:tcW w:type="dxa" w:w="1474"/>
          </w:tcPr>
          <w:p>
            <w:pPr>
              <w:spacing w:before="60" w:after="60"/>
            </w:pPr>
            <w:r>
              <w:rPr>
                <w:b/>
              </w:rPr>
              <w:t>Weeks 1 and 2: watch and record</w:t>
            </w:r>
          </w:p>
        </w:tc>
        <w:tc>
          <w:tcPr>
            <w:tcW w:type="dxa" w:w="2948"/>
          </w:tcPr>
          <w:p>
            <w:pPr>
              <w:spacing w:before="60" w:after="60"/>
            </w:pPr>
            <w:r>
              <w:t>Walk the site daily with the buddy; attend the 6.30 am pre-start; log delivery dockets against the order; photograph reinforcement before each pour; write the day's site diary entry</w:t>
            </w:r>
          </w:p>
        </w:tc>
        <w:tc>
          <w:tcPr>
            <w:tcW w:type="dxa" w:w="1701"/>
          </w:tcPr>
          <w:p>
            <w:pPr>
              <w:spacing w:before="60" w:after="60"/>
            </w:pPr>
            <w:r>
              <w:t>Buddy; site manager for the pre-start</w:t>
            </w:r>
          </w:p>
        </w:tc>
        <w:tc>
          <w:tcPr>
            <w:tcW w:type="dxa" w:w="1701"/>
          </w:tcPr>
          <w:p>
            <w:pPr>
              <w:spacing w:before="60" w:after="60"/>
            </w:pPr>
            <w:r>
              <w:t>Delivery dockets, site diary, reinforcement drawing</w:t>
            </w:r>
          </w:p>
        </w:tc>
        <w:tc>
          <w:tcPr>
            <w:tcW w:type="dxa" w:w="1814"/>
          </w:tcPr>
          <w:p>
            <w:pPr>
              <w:spacing w:before="60" w:after="60"/>
            </w:pPr>
            <w:r>
              <w:t>Buddy has read the diary entries; graduate can name who to ask about what</w:t>
            </w:r>
          </w:p>
        </w:tc>
      </w:tr>
      <w:tr>
        <w:trPr>
          <w:cantSplit w:val="true"/>
        </w:trPr>
        <w:tc>
          <w:tcPr>
            <w:tcW w:type="dxa" w:w="1474"/>
            <w:shd w:val="clear" w:color="auto" w:fill="F7F0FB"/>
          </w:tcPr>
          <w:p>
            <w:pPr>
              <w:spacing w:before="60" w:after="60"/>
            </w:pPr>
            <w:r>
              <w:rPr>
                <w:b/>
              </w:rPr>
              <w:t>Weeks 3 to 6: check alongside the buddy</w:t>
            </w:r>
          </w:p>
        </w:tc>
        <w:tc>
          <w:tcPr>
            <w:tcW w:type="dxa" w:w="2948"/>
            <w:shd w:val="clear" w:color="auto" w:fill="F7F0FB"/>
          </w:tcPr>
          <w:p>
            <w:pPr>
              <w:spacing w:before="60" w:after="60"/>
            </w:pPr>
            <w:r>
              <w:t>Check reinforcement with the buddy on the level 3 slab; fill in the ITP checklist for the buddy to review and sign; raise one RFI about a drawing clash with the buddy</w:t>
            </w:r>
          </w:p>
        </w:tc>
        <w:tc>
          <w:tcPr>
            <w:tcW w:type="dxa" w:w="1701"/>
            <w:shd w:val="clear" w:color="auto" w:fill="F7F0FB"/>
          </w:tcPr>
          <w:p>
            <w:pPr>
              <w:spacing w:before="60" w:after="60"/>
            </w:pPr>
            <w:r>
              <w:t>Buddy; steel-fixing foreman</w:t>
            </w:r>
          </w:p>
        </w:tc>
        <w:tc>
          <w:tcPr>
            <w:tcW w:type="dxa" w:w="1701"/>
            <w:shd w:val="clear" w:color="auto" w:fill="F7F0FB"/>
          </w:tcPr>
          <w:p>
            <w:pPr>
              <w:spacing w:before="60" w:after="60"/>
            </w:pPr>
            <w:r>
              <w:t>Pre-pour ITP, reinforcement drawing, RFI log, photos A, B and C</w:t>
            </w:r>
          </w:p>
        </w:tc>
        <w:tc>
          <w:tcPr>
            <w:tcW w:type="dxa" w:w="1814"/>
            <w:shd w:val="clear" w:color="auto" w:fill="F7F0FB"/>
          </w:tcPr>
          <w:p>
            <w:pPr>
              <w:spacing w:before="60" w:after="60"/>
            </w:pPr>
            <w:r>
              <w:t>Buddy has signed ITP checklists the graduate filled in</w:t>
            </w:r>
          </w:p>
        </w:tc>
      </w:tr>
      <w:tr>
        <w:trPr>
          <w:cantSplit w:val="true"/>
        </w:trPr>
        <w:tc>
          <w:tcPr>
            <w:tcW w:type="dxa" w:w="1474"/>
          </w:tcPr>
          <w:p>
            <w:pPr>
              <w:spacing w:before="60" w:after="60"/>
            </w:pPr>
            <w:r>
              <w:rPr>
                <w:b/>
              </w:rPr>
              <w:t>Weeks 7 to 12: lead with review</w:t>
            </w:r>
          </w:p>
        </w:tc>
        <w:tc>
          <w:tcPr>
            <w:tcW w:type="dxa" w:w="2948"/>
          </w:tcPr>
          <w:p>
            <w:pPr>
              <w:spacing w:before="60" w:after="60"/>
            </w:pPr>
            <w:r>
              <w:t>Lead the pre-pour inspection on a slab pour; walk it with the steel-fixing foreman; walk it again with the buddy before the structural engineer's inspection</w:t>
            </w:r>
          </w:p>
        </w:tc>
        <w:tc>
          <w:tcPr>
            <w:tcW w:type="dxa" w:w="1701"/>
          </w:tcPr>
          <w:p>
            <w:pPr>
              <w:spacing w:before="60" w:after="60"/>
            </w:pPr>
            <w:r>
              <w:t>Buddy; steel-fixing foreman; structural engineer</w:t>
            </w:r>
          </w:p>
        </w:tc>
        <w:tc>
          <w:tcPr>
            <w:tcW w:type="dxa" w:w="1701"/>
          </w:tcPr>
          <w:p>
            <w:pPr>
              <w:spacing w:before="60" w:after="60"/>
            </w:pPr>
            <w:r>
              <w:t>Pre-pour ITP, drawing, site diary, RFI log</w:t>
            </w:r>
          </w:p>
        </w:tc>
        <w:tc>
          <w:tcPr>
            <w:tcW w:type="dxa" w:w="1814"/>
          </w:tcPr>
          <w:p>
            <w:pPr>
              <w:spacing w:before="60" w:after="60"/>
            </w:pPr>
            <w:r>
              <w:t>Buddy reviews the led inspection with an observation checklist; hold point released by the buddy or site manager only</w:t>
            </w:r>
          </w:p>
        </w:tc>
      </w:tr>
    </w:tbl>
    <w:p>
      <w:pPr>
        <w:keepNext/>
        <w:pageBreakBefore/>
        <w:spacing w:before="240" w:after="80"/>
      </w:pPr>
      <w:r>
        <w:rPr>
          <w:b/>
          <w:color w:val="5D008F"/>
          <w:sz w:val="28"/>
        </w:rPr>
        <w:t>Worked example: weekly log entries</w:t>
      </w:r>
    </w:p>
    <w:tbl>
      <w:tblPr>
        <w:tblW w:type="auto" w:w="0"/>
        <w:jc w:val="center"/>
        <w:tblLook w:firstColumn="1" w:firstRow="1" w:lastColumn="0" w:lastRow="0" w:noHBand="0" w:noVBand="1" w:val="04A0"/>
        <w:tblBorders>
          <w:top w:val="single" w:sz="6" w:color="D9CCE3"/>
          <w:left w:val="single" w:sz="6" w:color="D9CCE3"/>
          <w:bottom w:val="single" w:sz="6" w:color="D9CCE3"/>
          <w:right w:val="single" w:sz="6" w:color="D9CCE3"/>
          <w:insideH w:val="single" w:sz="6" w:color="D9CCE3"/>
          <w:insideV w:val="single" w:sz="6" w:color="D9CCE3"/>
        </w:tblBorders>
      </w:tblPr>
      <w:tblGrid>
        <w:gridCol w:w="1994"/>
        <w:gridCol w:w="1994"/>
        <w:gridCol w:w="1994"/>
        <w:gridCol w:w="1994"/>
        <w:gridCol w:w="1994"/>
      </w:tblGrid>
      <w:tr>
        <w:trPr>
          <w:tblHeader w:val="true"/>
          <w:cantSplit w:val="true"/>
        </w:trPr>
        <w:tc>
          <w:tcPr>
            <w:tcW w:type="dxa" w:w="907"/>
            <w:shd w:val="clear" w:color="auto" w:fill="5D008F"/>
          </w:tcPr>
          <w:p>
            <w:pPr>
              <w:spacing w:before="60" w:after="60"/>
            </w:pPr>
            <w:r/>
            <w:r>
              <w:rPr>
                <w:b/>
                <w:color w:val="FFFFFF"/>
              </w:rPr>
              <w:t>Week</w:t>
            </w:r>
          </w:p>
        </w:tc>
        <w:tc>
          <w:tcPr>
            <w:tcW w:type="dxa" w:w="2608"/>
            <w:shd w:val="clear" w:color="auto" w:fill="5D008F"/>
          </w:tcPr>
          <w:p>
            <w:pPr>
              <w:spacing w:before="60" w:after="60"/>
            </w:pPr>
            <w:r/>
            <w:r>
              <w:rPr>
                <w:b/>
                <w:color w:val="FFFFFF"/>
              </w:rPr>
              <w:t>Real tasks I did</w:t>
            </w:r>
          </w:p>
        </w:tc>
        <w:tc>
          <w:tcPr>
            <w:tcW w:type="dxa" w:w="1814"/>
            <w:shd w:val="clear" w:color="auto" w:fill="5D008F"/>
          </w:tcPr>
          <w:p>
            <w:pPr>
              <w:spacing w:before="60" w:after="60"/>
            </w:pPr>
            <w:r/>
            <w:r>
              <w:rPr>
                <w:b/>
                <w:color w:val="FFFFFF"/>
              </w:rPr>
              <w:t>Who I did them with</w:t>
            </w:r>
          </w:p>
        </w:tc>
        <w:tc>
          <w:tcPr>
            <w:tcW w:type="dxa" w:w="2268"/>
            <w:shd w:val="clear" w:color="auto" w:fill="5D008F"/>
          </w:tcPr>
          <w:p>
            <w:pPr>
              <w:spacing w:before="60" w:after="60"/>
            </w:pPr>
            <w:r/>
            <w:r>
              <w:rPr>
                <w:b/>
                <w:color w:val="FFFFFF"/>
              </w:rPr>
              <w:t>One thing I noticed</w:t>
            </w:r>
          </w:p>
        </w:tc>
        <w:tc>
          <w:tcPr>
            <w:tcW w:type="dxa" w:w="2041"/>
            <w:shd w:val="clear" w:color="auto" w:fill="5D008F"/>
          </w:tcPr>
          <w:p>
            <w:pPr>
              <w:spacing w:before="60" w:after="60"/>
            </w:pPr>
            <w:r/>
            <w:r>
              <w:rPr>
                <w:b/>
                <w:color w:val="FFFFFF"/>
              </w:rPr>
              <w:t>My question for the buddy</w:t>
            </w:r>
          </w:p>
        </w:tc>
      </w:tr>
      <w:tr>
        <w:trPr>
          <w:cantSplit w:val="true"/>
        </w:trPr>
        <w:tc>
          <w:tcPr>
            <w:tcW w:type="dxa" w:w="907"/>
          </w:tcPr>
          <w:p>
            <w:pPr>
              <w:spacing w:before="60" w:after="60"/>
            </w:pPr>
            <w:r>
              <w:rPr>
                <w:b/>
              </w:rPr>
              <w:t>2</w:t>
            </w:r>
          </w:p>
        </w:tc>
        <w:tc>
          <w:tcPr>
            <w:tcW w:type="dxa" w:w="2608"/>
          </w:tcPr>
          <w:p>
            <w:pPr>
              <w:spacing w:before="60" w:after="60"/>
            </w:pPr>
            <w:r>
              <w:t>Walked the site with my buddy each morning; logged both concrete delivery dockets against the order; wrote Thursday's diary entry</w:t>
            </w:r>
          </w:p>
        </w:tc>
        <w:tc>
          <w:tcPr>
            <w:tcW w:type="dxa" w:w="1814"/>
          </w:tcPr>
          <w:p>
            <w:pPr>
              <w:spacing w:before="60" w:after="60"/>
            </w:pPr>
            <w:r>
              <w:t>Senior site engineer; concrete supply driver</w:t>
            </w:r>
          </w:p>
        </w:tc>
        <w:tc>
          <w:tcPr>
            <w:tcW w:type="dxa" w:w="2268"/>
          </w:tcPr>
          <w:p>
            <w:pPr>
              <w:spacing w:before="60" w:after="60"/>
            </w:pPr>
            <w:r>
              <w:t>The second docket showed a different mix code from the order</w:t>
            </w:r>
          </w:p>
        </w:tc>
        <w:tc>
          <w:tcPr>
            <w:tcW w:type="dxa" w:w="2041"/>
          </w:tcPr>
          <w:p>
            <w:pPr>
              <w:spacing w:before="60" w:after="60"/>
            </w:pPr>
            <w:r>
              <w:t>Who do I tell when a docket does not match, and do we turn the truck away?</w:t>
            </w:r>
          </w:p>
        </w:tc>
      </w:tr>
      <w:tr>
        <w:trPr>
          <w:cantSplit w:val="true"/>
        </w:trPr>
        <w:tc>
          <w:tcPr>
            <w:tcW w:type="dxa" w:w="907"/>
            <w:shd w:val="clear" w:color="auto" w:fill="F7F0FB"/>
          </w:tcPr>
          <w:p>
            <w:pPr>
              <w:spacing w:before="60" w:after="60"/>
            </w:pPr>
            <w:r>
              <w:rPr>
                <w:b/>
              </w:rPr>
              <w:t>4</w:t>
            </w:r>
          </w:p>
        </w:tc>
        <w:tc>
          <w:tcPr>
            <w:tcW w:type="dxa" w:w="2608"/>
            <w:shd w:val="clear" w:color="auto" w:fill="F7F0FB"/>
          </w:tcPr>
          <w:p>
            <w:pPr>
              <w:spacing w:before="60" w:after="60"/>
            </w:pPr>
            <w:r>
              <w:t>Checked bar spacing and cover with my buddy on the level 3 slab; filled in the ITP checklist for the east bay</w:t>
            </w:r>
          </w:p>
        </w:tc>
        <w:tc>
          <w:tcPr>
            <w:tcW w:type="dxa" w:w="1814"/>
            <w:shd w:val="clear" w:color="auto" w:fill="F7F0FB"/>
          </w:tcPr>
          <w:p>
            <w:pPr>
              <w:spacing w:before="60" w:after="60"/>
            </w:pPr>
            <w:r>
              <w:t>Senior site engineer; steel-fixing foreman</w:t>
            </w:r>
          </w:p>
        </w:tc>
        <w:tc>
          <w:tcPr>
            <w:tcW w:type="dxa" w:w="2268"/>
            <w:shd w:val="clear" w:color="auto" w:fill="F7F0FB"/>
          </w:tcPr>
          <w:p>
            <w:pPr>
              <w:spacing w:before="60" w:after="60"/>
            </w:pPr>
            <w:r>
              <w:t>Bar chairs near the stair void were spaced too far apart, like photo A</w:t>
            </w:r>
          </w:p>
        </w:tc>
        <w:tc>
          <w:tcPr>
            <w:tcW w:type="dxa" w:w="2041"/>
            <w:shd w:val="clear" w:color="auto" w:fill="F7F0FB"/>
          </w:tcPr>
          <w:p>
            <w:pPr>
              <w:spacing w:before="60" w:after="60"/>
            </w:pPr>
            <w:r>
              <w:t>When is low cover a quick fix by the steel fixers and when is it an RFI?</w:t>
            </w:r>
          </w:p>
        </w:tc>
      </w:tr>
      <w:tr>
        <w:trPr>
          <w:cantSplit w:val="true"/>
        </w:trPr>
        <w:tc>
          <w:tcPr>
            <w:tcW w:type="dxa" w:w="907"/>
          </w:tcPr>
          <w:p>
            <w:pPr>
              <w:spacing w:before="60" w:after="60"/>
            </w:pPr>
            <w:r>
              <w:rPr>
                <w:b/>
              </w:rPr>
              <w:t>9</w:t>
            </w:r>
          </w:p>
        </w:tc>
        <w:tc>
          <w:tcPr>
            <w:tcW w:type="dxa" w:w="2608"/>
          </w:tcPr>
          <w:p>
            <w:pPr>
              <w:spacing w:before="60" w:after="60"/>
            </w:pPr>
            <w:r>
              <w:t>Led the pre-pour walk on the west bay with the steel-fixing foreman, then walked it again with my buddy</w:t>
            </w:r>
          </w:p>
        </w:tc>
        <w:tc>
          <w:tcPr>
            <w:tcW w:type="dxa" w:w="1814"/>
          </w:tcPr>
          <w:p>
            <w:pPr>
              <w:spacing w:before="60" w:after="60"/>
            </w:pPr>
            <w:r>
              <w:t>Steel-fixing foreman; senior site engineer</w:t>
            </w:r>
          </w:p>
        </w:tc>
        <w:tc>
          <w:tcPr>
            <w:tcW w:type="dxa" w:w="2268"/>
          </w:tcPr>
          <w:p>
            <w:pPr>
              <w:spacing w:before="60" w:after="60"/>
            </w:pPr>
            <w:r>
              <w:t>A cast-in conduit on the drawing was missing, like photo B; we logged it before the engineer's inspection</w:t>
            </w:r>
          </w:p>
        </w:tc>
        <w:tc>
          <w:tcPr>
            <w:tcW w:type="dxa" w:w="2041"/>
          </w:tcPr>
          <w:p>
            <w:pPr>
              <w:spacing w:before="60" w:after="60"/>
            </w:pPr>
            <w:r>
              <w:t>What would you have checked first that I left until last?</w:t>
            </w:r>
          </w:p>
        </w:tc>
      </w:tr>
    </w:tbl>
    <w:p>
      <w:pPr>
        <w:spacing w:before="160"/>
      </w:pPr>
      <w:r>
        <w:rPr>
          <w:i/>
          <w:color w:val="5A5766"/>
        </w:rPr>
        <w:t>Example entries only. The real record of the inspection is the ITP and the site diary; this log is for the conversation with the buddy.</w:t>
      </w:r>
    </w:p>
    <w:p>
      <w:pPr>
        <w:keepNext/>
        <w:spacing w:before="240" w:after="80"/>
      </w:pPr>
      <w:r>
        <w:rPr>
          <w:b/>
          <w:color w:val="5D008F"/>
          <w:sz w:val="28"/>
        </w:rPr>
        <w:t>The buddy's 15-minute weekly check-in</w:t>
      </w:r>
    </w:p>
    <w:tbl>
      <w:tblPr>
        <w:tblW w:type="auto" w:w="0"/>
        <w:jc w:val="center"/>
        <w:tblLook w:firstColumn="1" w:firstRow="1" w:lastColumn="0" w:lastRow="0" w:noHBand="0" w:noVBand="1" w:val="04A0"/>
        <w:tblBorders>
          <w:top w:val="single" w:sz="6" w:color="D9CCE3"/>
          <w:left w:val="single" w:sz="6" w:color="D9CCE3"/>
          <w:bottom w:val="single" w:sz="6" w:color="D9CCE3"/>
          <w:right w:val="single" w:sz="6" w:color="D9CCE3"/>
          <w:insideH w:val="single" w:sz="6" w:color="D9CCE3"/>
          <w:insideV w:val="single" w:sz="6" w:color="D9CCE3"/>
        </w:tblBorders>
      </w:tblPr>
      <w:tblGrid>
        <w:gridCol w:w="3324"/>
        <w:gridCol w:w="3324"/>
        <w:gridCol w:w="3324"/>
      </w:tblGrid>
      <w:tr>
        <w:trPr>
          <w:tblHeader w:val="true"/>
          <w:cantSplit w:val="true"/>
        </w:trPr>
        <w:tc>
          <w:tcPr>
            <w:tcW w:type="dxa" w:w="1701"/>
            <w:shd w:val="clear" w:color="auto" w:fill="5D008F"/>
          </w:tcPr>
          <w:p>
            <w:pPr>
              <w:spacing w:before="60" w:after="60"/>
            </w:pPr>
            <w:r/>
            <w:r>
              <w:rPr>
                <w:b/>
                <w:color w:val="FFFFFF"/>
              </w:rPr>
              <w:t>Stage</w:t>
            </w:r>
          </w:p>
        </w:tc>
        <w:tc>
          <w:tcPr>
            <w:tcW w:type="dxa" w:w="4989"/>
            <w:shd w:val="clear" w:color="auto" w:fill="5D008F"/>
          </w:tcPr>
          <w:p>
            <w:pPr>
              <w:spacing w:before="60" w:after="60"/>
            </w:pPr>
            <w:r/>
            <w:r>
              <w:rPr>
                <w:b/>
                <w:color w:val="FFFFFF"/>
              </w:rPr>
              <w:t>Questions to ask</w:t>
            </w:r>
          </w:p>
        </w:tc>
        <w:tc>
          <w:tcPr>
            <w:tcW w:type="dxa" w:w="2948"/>
            <w:shd w:val="clear" w:color="auto" w:fill="5D008F"/>
          </w:tcPr>
          <w:p>
            <w:pPr>
              <w:spacing w:before="60" w:after="60"/>
            </w:pPr>
            <w:r/>
            <w:r>
              <w:rPr>
                <w:b/>
                <w:color w:val="FFFFFF"/>
              </w:rPr>
              <w:t>When to hand over more</w:t>
            </w:r>
          </w:p>
        </w:tc>
      </w:tr>
      <w:tr>
        <w:trPr>
          <w:cantSplit w:val="true"/>
        </w:trPr>
        <w:tc>
          <w:tcPr>
            <w:tcW w:type="dxa" w:w="1701"/>
          </w:tcPr>
          <w:p>
            <w:pPr>
              <w:spacing w:before="60" w:after="60"/>
            </w:pPr>
            <w:r>
              <w:rPr>
                <w:b/>
              </w:rPr>
              <w:t>Weeks 1 and 2</w:t>
            </w:r>
          </w:p>
        </w:tc>
        <w:tc>
          <w:tcPr>
            <w:tcW w:type="dxa" w:w="4989"/>
          </w:tcPr>
          <w:p>
            <w:pPr>
              <w:spacing w:before="60" w:after="60"/>
            </w:pPr>
            <w:r>
              <w:t>What did you see this week that you did not expect? Who have you spoken to on site, and what did you ask them? Which record or form did you use, and do you know why it exists?</w:t>
            </w:r>
          </w:p>
        </w:tc>
        <w:tc>
          <w:tcPr>
            <w:tcW w:type="dxa" w:w="2948"/>
          </w:tcPr>
          <w:p>
            <w:pPr>
              <w:spacing w:before="60" w:after="60"/>
            </w:pPr>
            <w:r>
              <w:t>They log tasks accurately, ask questions without prompting and can say who to ask about what</w:t>
            </w:r>
          </w:p>
        </w:tc>
      </w:tr>
      <w:tr>
        <w:trPr>
          <w:cantSplit w:val="true"/>
        </w:trPr>
        <w:tc>
          <w:tcPr>
            <w:tcW w:type="dxa" w:w="1701"/>
            <w:shd w:val="clear" w:color="auto" w:fill="F7F0FB"/>
          </w:tcPr>
          <w:p>
            <w:pPr>
              <w:spacing w:before="60" w:after="60"/>
            </w:pPr>
            <w:r>
              <w:rPr>
                <w:b/>
              </w:rPr>
              <w:t>Weeks 3 to 6</w:t>
            </w:r>
          </w:p>
        </w:tc>
        <w:tc>
          <w:tcPr>
            <w:tcW w:type="dxa" w:w="4989"/>
            <w:shd w:val="clear" w:color="auto" w:fill="F7F0FB"/>
          </w:tcPr>
          <w:p>
            <w:pPr>
              <w:spacing w:before="60" w:after="60"/>
            </w:pPr>
            <w:r>
              <w:t>Talk me through one check you did on the slab. What would have made you stop and call me? What did the drawing say, and what did you find?</w:t>
            </w:r>
          </w:p>
        </w:tc>
        <w:tc>
          <w:tcPr>
            <w:tcW w:type="dxa" w:w="2948"/>
            <w:shd w:val="clear" w:color="auto" w:fill="F7F0FB"/>
          </w:tcPr>
          <w:p>
            <w:pPr>
              <w:spacing w:before="60" w:after="60"/>
            </w:pPr>
            <w:r>
              <w:t>Their ITP checklists match what you find when you walk it, and they flag doubts early</w:t>
            </w:r>
          </w:p>
        </w:tc>
      </w:tr>
      <w:tr>
        <w:trPr>
          <w:cantSplit w:val="true"/>
        </w:trPr>
        <w:tc>
          <w:tcPr>
            <w:tcW w:type="dxa" w:w="1701"/>
          </w:tcPr>
          <w:p>
            <w:pPr>
              <w:spacing w:before="60" w:after="60"/>
            </w:pPr>
            <w:r>
              <w:rPr>
                <w:b/>
              </w:rPr>
              <w:t>Weeks 7 to 12</w:t>
            </w:r>
          </w:p>
        </w:tc>
        <w:tc>
          <w:tcPr>
            <w:tcW w:type="dxa" w:w="4989"/>
          </w:tcPr>
          <w:p>
            <w:pPr>
              <w:spacing w:before="60" w:after="60"/>
            </w:pPr>
            <w:r>
              <w:t>What did you check first on your led inspection, and why? What did you raise, and with whom? What would you do differently on the next pour?</w:t>
            </w:r>
          </w:p>
        </w:tc>
        <w:tc>
          <w:tcPr>
            <w:tcW w:type="dxa" w:w="2948"/>
          </w:tcPr>
          <w:p>
            <w:pPr>
              <w:spacing w:before="60" w:after="60"/>
            </w:pPr>
            <w:r>
              <w:t>They lead the walk with few corrections; the hold point stays with you or the site manager</w:t>
            </w:r>
          </w:p>
        </w:tc>
      </w:tr>
    </w:tbl>
    <w:p>
      <w:pPr>
        <w:spacing w:before="160"/>
      </w:pPr>
      <w:r>
        <w:t>Ask before you tell. If the graduate is stuck, show them on the slab, then hand the question back. The check-in is a conversation, not a grading session.</w:t>
      </w:r>
    </w:p>
    <w:p>
      <w:pPr>
        <w:keepNext/>
        <w:pageBreakBefore/>
        <w:spacing w:before="240" w:after="80"/>
      </w:pPr>
      <w:r>
        <w:rPr>
          <w:b/>
          <w:color w:val="5D008F"/>
          <w:sz w:val="28"/>
        </w:rPr>
        <w:t>Your stage plan</w:t>
      </w:r>
    </w:p>
    <w:p>
      <w:r>
        <w:t>Role and setting:</w:t>
      </w:r>
    </w:p>
    <w:p>
      <w:r>
        <w:t>Newcomer:                                        Buddy:</w:t>
      </w:r>
    </w:p>
    <w:tbl>
      <w:tblPr>
        <w:tblW w:type="auto" w:w="0"/>
        <w:jc w:val="center"/>
        <w:tblLook w:firstColumn="1" w:firstRow="1" w:lastColumn="0" w:lastRow="0" w:noHBand="0" w:noVBand="1" w:val="04A0"/>
        <w:tblBorders>
          <w:top w:val="single" w:sz="6" w:color="D9CCE3"/>
          <w:left w:val="single" w:sz="6" w:color="D9CCE3"/>
          <w:bottom w:val="single" w:sz="6" w:color="D9CCE3"/>
          <w:right w:val="single" w:sz="6" w:color="D9CCE3"/>
          <w:insideH w:val="single" w:sz="6" w:color="D9CCE3"/>
          <w:insideV w:val="single" w:sz="6" w:color="D9CCE3"/>
        </w:tblBorders>
      </w:tblPr>
      <w:tblGrid>
        <w:gridCol w:w="1994"/>
        <w:gridCol w:w="1994"/>
        <w:gridCol w:w="1994"/>
        <w:gridCol w:w="1994"/>
        <w:gridCol w:w="1994"/>
      </w:tblGrid>
      <w:tr>
        <w:trPr>
          <w:tblHeader w:val="true"/>
          <w:cantSplit w:val="true"/>
        </w:trPr>
        <w:tc>
          <w:tcPr>
            <w:tcW w:type="dxa" w:w="1474"/>
            <w:shd w:val="clear" w:color="auto" w:fill="5D008F"/>
          </w:tcPr>
          <w:p>
            <w:pPr>
              <w:spacing w:before="60" w:after="60"/>
            </w:pPr>
            <w:r/>
            <w:r>
              <w:rPr>
                <w:b/>
                <w:color w:val="FFFFFF"/>
              </w:rPr>
              <w:t>Stage</w:t>
            </w:r>
          </w:p>
        </w:tc>
        <w:tc>
          <w:tcPr>
            <w:tcW w:type="dxa" w:w="2948"/>
            <w:shd w:val="clear" w:color="auto" w:fill="5D008F"/>
          </w:tcPr>
          <w:p>
            <w:pPr>
              <w:spacing w:before="60" w:after="60"/>
            </w:pPr>
            <w:r/>
            <w:r>
              <w:rPr>
                <w:b/>
                <w:color w:val="FFFFFF"/>
              </w:rPr>
              <w:t>Real tasks</w:t>
            </w:r>
          </w:p>
        </w:tc>
        <w:tc>
          <w:tcPr>
            <w:tcW w:type="dxa" w:w="1701"/>
            <w:shd w:val="clear" w:color="auto" w:fill="5D008F"/>
          </w:tcPr>
          <w:p>
            <w:pPr>
              <w:spacing w:before="60" w:after="60"/>
            </w:pPr>
            <w:r/>
            <w:r>
              <w:rPr>
                <w:b/>
                <w:color w:val="FFFFFF"/>
              </w:rPr>
              <w:t>Who gives access</w:t>
            </w:r>
          </w:p>
        </w:tc>
        <w:tc>
          <w:tcPr>
            <w:tcW w:type="dxa" w:w="1701"/>
            <w:shd w:val="clear" w:color="auto" w:fill="5D008F"/>
          </w:tcPr>
          <w:p>
            <w:pPr>
              <w:spacing w:before="60" w:after="60"/>
            </w:pPr>
            <w:r/>
            <w:r>
              <w:rPr>
                <w:b/>
                <w:color w:val="FFFFFF"/>
              </w:rPr>
              <w:t>Records used</w:t>
            </w:r>
          </w:p>
        </w:tc>
        <w:tc>
          <w:tcPr>
            <w:tcW w:type="dxa" w:w="1814"/>
            <w:shd w:val="clear" w:color="auto" w:fill="5D008F"/>
          </w:tcPr>
          <w:p>
            <w:pPr>
              <w:spacing w:before="60" w:after="60"/>
            </w:pPr>
            <w:r/>
            <w:r>
              <w:rPr>
                <w:b/>
                <w:color w:val="FFFFFF"/>
              </w:rPr>
              <w:t>Check before moving on</w:t>
            </w:r>
          </w:p>
        </w:tc>
      </w:tr>
      <w:tr>
        <w:trPr>
          <w:cantSplit w:val="true"/>
          <w:trHeight w:val="2381"/>
        </w:trPr>
        <w:tc>
          <w:tcPr>
            <w:tcW w:type="dxa" w:w="1474"/>
          </w:tcPr>
          <w:p>
            <w:pPr>
              <w:spacing w:before="60" w:after="60"/>
            </w:pPr>
            <w:r>
              <w:rPr>
                <w:b/>
              </w:rPr>
              <w:t>Peripheral: watch and record</w:t>
            </w:r>
          </w:p>
        </w:tc>
        <w:tc>
          <w:tcPr>
            <w:tcW w:type="dxa" w:w="2948"/>
          </w:tcPr>
          <w:p>
            <w:pPr>
              <w:spacing w:before="60" w:after="60"/>
            </w:pPr>
            <w:r/>
          </w:p>
        </w:tc>
        <w:tc>
          <w:tcPr>
            <w:tcW w:type="dxa" w:w="1701"/>
          </w:tcPr>
          <w:p>
            <w:pPr>
              <w:spacing w:before="60" w:after="60"/>
            </w:pPr>
            <w:r/>
          </w:p>
        </w:tc>
        <w:tc>
          <w:tcPr>
            <w:tcW w:type="dxa" w:w="1701"/>
          </w:tcPr>
          <w:p>
            <w:pPr>
              <w:spacing w:before="60" w:after="60"/>
            </w:pPr>
            <w:r/>
          </w:p>
        </w:tc>
        <w:tc>
          <w:tcPr>
            <w:tcW w:type="dxa" w:w="1814"/>
          </w:tcPr>
          <w:p>
            <w:pPr>
              <w:spacing w:before="60" w:after="60"/>
            </w:pPr>
            <w:r/>
          </w:p>
        </w:tc>
      </w:tr>
      <w:tr>
        <w:trPr>
          <w:cantSplit w:val="true"/>
          <w:trHeight w:val="2381"/>
        </w:trPr>
        <w:tc>
          <w:tcPr>
            <w:tcW w:type="dxa" w:w="1474"/>
            <w:shd w:val="clear" w:color="auto" w:fill="F7F0FB"/>
          </w:tcPr>
          <w:p>
            <w:pPr>
              <w:spacing w:before="60" w:after="60"/>
            </w:pPr>
            <w:r>
              <w:rPr>
                <w:b/>
              </w:rPr>
              <w:t>Joint: work alongside</w:t>
            </w:r>
          </w:p>
        </w:tc>
        <w:tc>
          <w:tcPr>
            <w:tcW w:type="dxa" w:w="2948"/>
            <w:shd w:val="clear" w:color="auto" w:fill="F7F0FB"/>
          </w:tcPr>
          <w:p>
            <w:pPr>
              <w:spacing w:before="60" w:after="60"/>
            </w:pPr>
            <w:r/>
          </w:p>
        </w:tc>
        <w:tc>
          <w:tcPr>
            <w:tcW w:type="dxa" w:w="1701"/>
            <w:shd w:val="clear" w:color="auto" w:fill="F7F0FB"/>
          </w:tcPr>
          <w:p>
            <w:pPr>
              <w:spacing w:before="60" w:after="60"/>
            </w:pPr>
            <w:r/>
          </w:p>
        </w:tc>
        <w:tc>
          <w:tcPr>
            <w:tcW w:type="dxa" w:w="1701"/>
            <w:shd w:val="clear" w:color="auto" w:fill="F7F0FB"/>
          </w:tcPr>
          <w:p>
            <w:pPr>
              <w:spacing w:before="60" w:after="60"/>
            </w:pPr>
            <w:r/>
          </w:p>
        </w:tc>
        <w:tc>
          <w:tcPr>
            <w:tcW w:type="dxa" w:w="1814"/>
            <w:shd w:val="clear" w:color="auto" w:fill="F7F0FB"/>
          </w:tcPr>
          <w:p>
            <w:pPr>
              <w:spacing w:before="60" w:after="60"/>
            </w:pPr>
            <w:r/>
          </w:p>
        </w:tc>
      </w:tr>
      <w:tr>
        <w:trPr>
          <w:cantSplit w:val="true"/>
          <w:trHeight w:val="2381"/>
        </w:trPr>
        <w:tc>
          <w:tcPr>
            <w:tcW w:type="dxa" w:w="1474"/>
          </w:tcPr>
          <w:p>
            <w:pPr>
              <w:spacing w:before="60" w:after="60"/>
            </w:pPr>
            <w:r>
              <w:rPr>
                <w:b/>
              </w:rPr>
              <w:t>Fuller, still supervised: lead with review</w:t>
            </w:r>
          </w:p>
        </w:tc>
        <w:tc>
          <w:tcPr>
            <w:tcW w:type="dxa" w:w="2948"/>
          </w:tcPr>
          <w:p>
            <w:pPr>
              <w:spacing w:before="60" w:after="60"/>
            </w:pPr>
            <w:r/>
          </w:p>
        </w:tc>
        <w:tc>
          <w:tcPr>
            <w:tcW w:type="dxa" w:w="1701"/>
          </w:tcPr>
          <w:p>
            <w:pPr>
              <w:spacing w:before="60" w:after="60"/>
            </w:pPr>
            <w:r/>
          </w:p>
        </w:tc>
        <w:tc>
          <w:tcPr>
            <w:tcW w:type="dxa" w:w="1701"/>
          </w:tcPr>
          <w:p>
            <w:pPr>
              <w:spacing w:before="60" w:after="60"/>
            </w:pPr>
            <w:r/>
          </w:p>
        </w:tc>
        <w:tc>
          <w:tcPr>
            <w:tcW w:type="dxa" w:w="1814"/>
          </w:tcPr>
          <w:p>
            <w:pPr>
              <w:spacing w:before="60" w:after="60"/>
            </w:pPr>
            <w:r/>
          </w:p>
        </w:tc>
      </w:tr>
    </w:tbl>
    <w:p>
      <w:pPr>
        <w:keepNext/>
        <w:pageBreakBefore/>
        <w:spacing w:before="240" w:after="80"/>
      </w:pPr>
      <w:r>
        <w:rPr>
          <w:b/>
          <w:color w:val="5D008F"/>
          <w:sz w:val="28"/>
        </w:rPr>
        <w:t>Your weekly log</w:t>
      </w:r>
    </w:p>
    <w:tbl>
      <w:tblPr>
        <w:tblW w:type="auto" w:w="0"/>
        <w:jc w:val="center"/>
        <w:tblLook w:firstColumn="1" w:firstRow="1" w:lastColumn="0" w:lastRow="0" w:noHBand="0" w:noVBand="1" w:val="04A0"/>
        <w:tblBorders>
          <w:top w:val="single" w:sz="6" w:color="D9CCE3"/>
          <w:left w:val="single" w:sz="6" w:color="D9CCE3"/>
          <w:bottom w:val="single" w:sz="6" w:color="D9CCE3"/>
          <w:right w:val="single" w:sz="6" w:color="D9CCE3"/>
          <w:insideH w:val="single" w:sz="6" w:color="D9CCE3"/>
          <w:insideV w:val="single" w:sz="6" w:color="D9CCE3"/>
        </w:tblBorders>
      </w:tblPr>
      <w:tblGrid>
        <w:gridCol w:w="1994"/>
        <w:gridCol w:w="1994"/>
        <w:gridCol w:w="1994"/>
        <w:gridCol w:w="1994"/>
        <w:gridCol w:w="1994"/>
      </w:tblGrid>
      <w:tr>
        <w:trPr>
          <w:tblHeader w:val="true"/>
          <w:cantSplit w:val="true"/>
        </w:trPr>
        <w:tc>
          <w:tcPr>
            <w:tcW w:type="dxa" w:w="907"/>
            <w:shd w:val="clear" w:color="auto" w:fill="5D008F"/>
          </w:tcPr>
          <w:p>
            <w:pPr>
              <w:spacing w:before="60" w:after="60"/>
            </w:pPr>
            <w:r/>
            <w:r>
              <w:rPr>
                <w:b/>
                <w:color w:val="FFFFFF"/>
              </w:rPr>
              <w:t>Week</w:t>
            </w:r>
          </w:p>
        </w:tc>
        <w:tc>
          <w:tcPr>
            <w:tcW w:type="dxa" w:w="2608"/>
            <w:shd w:val="clear" w:color="auto" w:fill="5D008F"/>
          </w:tcPr>
          <w:p>
            <w:pPr>
              <w:spacing w:before="60" w:after="60"/>
            </w:pPr>
            <w:r/>
            <w:r>
              <w:rPr>
                <w:b/>
                <w:color w:val="FFFFFF"/>
              </w:rPr>
              <w:t>Real tasks I did</w:t>
            </w:r>
          </w:p>
        </w:tc>
        <w:tc>
          <w:tcPr>
            <w:tcW w:type="dxa" w:w="1814"/>
            <w:shd w:val="clear" w:color="auto" w:fill="5D008F"/>
          </w:tcPr>
          <w:p>
            <w:pPr>
              <w:spacing w:before="60" w:after="60"/>
            </w:pPr>
            <w:r/>
            <w:r>
              <w:rPr>
                <w:b/>
                <w:color w:val="FFFFFF"/>
              </w:rPr>
              <w:t>Who I did them with</w:t>
            </w:r>
          </w:p>
        </w:tc>
        <w:tc>
          <w:tcPr>
            <w:tcW w:type="dxa" w:w="2268"/>
            <w:shd w:val="clear" w:color="auto" w:fill="5D008F"/>
          </w:tcPr>
          <w:p>
            <w:pPr>
              <w:spacing w:before="60" w:after="60"/>
            </w:pPr>
            <w:r/>
            <w:r>
              <w:rPr>
                <w:b/>
                <w:color w:val="FFFFFF"/>
              </w:rPr>
              <w:t>One thing I noticed</w:t>
            </w:r>
          </w:p>
        </w:tc>
        <w:tc>
          <w:tcPr>
            <w:tcW w:type="dxa" w:w="2041"/>
            <w:shd w:val="clear" w:color="auto" w:fill="5D008F"/>
          </w:tcPr>
          <w:p>
            <w:pPr>
              <w:spacing w:before="60" w:after="60"/>
            </w:pPr>
            <w:r/>
            <w:r>
              <w:rPr>
                <w:b/>
                <w:color w:val="FFFFFF"/>
              </w:rPr>
              <w:t>My question for the buddy</w:t>
            </w:r>
          </w:p>
        </w:tc>
      </w:tr>
      <w:tr>
        <w:trPr>
          <w:cantSplit w:val="true"/>
          <w:trHeight w:val="850"/>
        </w:trPr>
        <w:tc>
          <w:tcPr>
            <w:tcW w:type="dxa" w:w="907"/>
          </w:tcPr>
          <w:p>
            <w:pPr>
              <w:spacing w:before="60" w:after="60"/>
            </w:pPr>
            <w:r>
              <w:rPr>
                <w:b/>
              </w:rPr>
              <w:t>1</w:t>
            </w:r>
          </w:p>
        </w:tc>
        <w:tc>
          <w:tcPr>
            <w:tcW w:type="dxa" w:w="2608"/>
          </w:tcPr>
          <w:p>
            <w:pPr>
              <w:spacing w:before="60" w:after="60"/>
            </w:pPr>
            <w:r/>
          </w:p>
        </w:tc>
        <w:tc>
          <w:tcPr>
            <w:tcW w:type="dxa" w:w="1814"/>
          </w:tcPr>
          <w:p>
            <w:pPr>
              <w:spacing w:before="60" w:after="60"/>
            </w:pPr>
            <w:r/>
          </w:p>
        </w:tc>
        <w:tc>
          <w:tcPr>
            <w:tcW w:type="dxa" w:w="2268"/>
          </w:tcPr>
          <w:p>
            <w:pPr>
              <w:spacing w:before="60" w:after="60"/>
            </w:pPr>
            <w:r/>
          </w:p>
        </w:tc>
        <w:tc>
          <w:tcPr>
            <w:tcW w:type="dxa" w:w="2041"/>
          </w:tcPr>
          <w:p>
            <w:pPr>
              <w:spacing w:before="60" w:after="60"/>
            </w:pPr>
            <w:r/>
          </w:p>
        </w:tc>
      </w:tr>
      <w:tr>
        <w:trPr>
          <w:cantSplit w:val="true"/>
          <w:trHeight w:val="850"/>
        </w:trPr>
        <w:tc>
          <w:tcPr>
            <w:tcW w:type="dxa" w:w="907"/>
            <w:shd w:val="clear" w:color="auto" w:fill="F7F0FB"/>
          </w:tcPr>
          <w:p>
            <w:pPr>
              <w:spacing w:before="60" w:after="60"/>
            </w:pPr>
            <w:r>
              <w:rPr>
                <w:b/>
              </w:rPr>
              <w:t>2</w:t>
            </w:r>
          </w:p>
        </w:tc>
        <w:tc>
          <w:tcPr>
            <w:tcW w:type="dxa" w:w="2608"/>
            <w:shd w:val="clear" w:color="auto" w:fill="F7F0FB"/>
          </w:tcPr>
          <w:p>
            <w:pPr>
              <w:spacing w:before="60" w:after="60"/>
            </w:pPr>
            <w:r/>
          </w:p>
        </w:tc>
        <w:tc>
          <w:tcPr>
            <w:tcW w:type="dxa" w:w="1814"/>
            <w:shd w:val="clear" w:color="auto" w:fill="F7F0FB"/>
          </w:tcPr>
          <w:p>
            <w:pPr>
              <w:spacing w:before="60" w:after="60"/>
            </w:pPr>
            <w:r/>
          </w:p>
        </w:tc>
        <w:tc>
          <w:tcPr>
            <w:tcW w:type="dxa" w:w="2268"/>
            <w:shd w:val="clear" w:color="auto" w:fill="F7F0FB"/>
          </w:tcPr>
          <w:p>
            <w:pPr>
              <w:spacing w:before="60" w:after="60"/>
            </w:pPr>
            <w:r/>
          </w:p>
        </w:tc>
        <w:tc>
          <w:tcPr>
            <w:tcW w:type="dxa" w:w="2041"/>
            <w:shd w:val="clear" w:color="auto" w:fill="F7F0FB"/>
          </w:tcPr>
          <w:p>
            <w:pPr>
              <w:spacing w:before="60" w:after="60"/>
            </w:pPr>
            <w:r/>
          </w:p>
        </w:tc>
      </w:tr>
      <w:tr>
        <w:trPr>
          <w:cantSplit w:val="true"/>
          <w:trHeight w:val="850"/>
        </w:trPr>
        <w:tc>
          <w:tcPr>
            <w:tcW w:type="dxa" w:w="907"/>
          </w:tcPr>
          <w:p>
            <w:pPr>
              <w:spacing w:before="60" w:after="60"/>
            </w:pPr>
            <w:r>
              <w:rPr>
                <w:b/>
              </w:rPr>
              <w:t>3</w:t>
            </w:r>
          </w:p>
        </w:tc>
        <w:tc>
          <w:tcPr>
            <w:tcW w:type="dxa" w:w="2608"/>
          </w:tcPr>
          <w:p>
            <w:pPr>
              <w:spacing w:before="60" w:after="60"/>
            </w:pPr>
            <w:r/>
          </w:p>
        </w:tc>
        <w:tc>
          <w:tcPr>
            <w:tcW w:type="dxa" w:w="1814"/>
          </w:tcPr>
          <w:p>
            <w:pPr>
              <w:spacing w:before="60" w:after="60"/>
            </w:pPr>
            <w:r/>
          </w:p>
        </w:tc>
        <w:tc>
          <w:tcPr>
            <w:tcW w:type="dxa" w:w="2268"/>
          </w:tcPr>
          <w:p>
            <w:pPr>
              <w:spacing w:before="60" w:after="60"/>
            </w:pPr>
            <w:r/>
          </w:p>
        </w:tc>
        <w:tc>
          <w:tcPr>
            <w:tcW w:type="dxa" w:w="2041"/>
          </w:tcPr>
          <w:p>
            <w:pPr>
              <w:spacing w:before="60" w:after="60"/>
            </w:pPr>
            <w:r/>
          </w:p>
        </w:tc>
      </w:tr>
      <w:tr>
        <w:trPr>
          <w:cantSplit w:val="true"/>
          <w:trHeight w:val="850"/>
        </w:trPr>
        <w:tc>
          <w:tcPr>
            <w:tcW w:type="dxa" w:w="907"/>
            <w:shd w:val="clear" w:color="auto" w:fill="F7F0FB"/>
          </w:tcPr>
          <w:p>
            <w:pPr>
              <w:spacing w:before="60" w:after="60"/>
            </w:pPr>
            <w:r>
              <w:rPr>
                <w:b/>
              </w:rPr>
              <w:t>4</w:t>
            </w:r>
          </w:p>
        </w:tc>
        <w:tc>
          <w:tcPr>
            <w:tcW w:type="dxa" w:w="2608"/>
            <w:shd w:val="clear" w:color="auto" w:fill="F7F0FB"/>
          </w:tcPr>
          <w:p>
            <w:pPr>
              <w:spacing w:before="60" w:after="60"/>
            </w:pPr>
            <w:r/>
          </w:p>
        </w:tc>
        <w:tc>
          <w:tcPr>
            <w:tcW w:type="dxa" w:w="1814"/>
            <w:shd w:val="clear" w:color="auto" w:fill="F7F0FB"/>
          </w:tcPr>
          <w:p>
            <w:pPr>
              <w:spacing w:before="60" w:after="60"/>
            </w:pPr>
            <w:r/>
          </w:p>
        </w:tc>
        <w:tc>
          <w:tcPr>
            <w:tcW w:type="dxa" w:w="2268"/>
            <w:shd w:val="clear" w:color="auto" w:fill="F7F0FB"/>
          </w:tcPr>
          <w:p>
            <w:pPr>
              <w:spacing w:before="60" w:after="60"/>
            </w:pPr>
            <w:r/>
          </w:p>
        </w:tc>
        <w:tc>
          <w:tcPr>
            <w:tcW w:type="dxa" w:w="2041"/>
            <w:shd w:val="clear" w:color="auto" w:fill="F7F0FB"/>
          </w:tcPr>
          <w:p>
            <w:pPr>
              <w:spacing w:before="60" w:after="60"/>
            </w:pPr>
            <w:r/>
          </w:p>
        </w:tc>
      </w:tr>
      <w:tr>
        <w:trPr>
          <w:cantSplit w:val="true"/>
          <w:trHeight w:val="850"/>
        </w:trPr>
        <w:tc>
          <w:tcPr>
            <w:tcW w:type="dxa" w:w="907"/>
          </w:tcPr>
          <w:p>
            <w:pPr>
              <w:spacing w:before="60" w:after="60"/>
            </w:pPr>
            <w:r>
              <w:rPr>
                <w:b/>
              </w:rPr>
              <w:t>5</w:t>
            </w:r>
          </w:p>
        </w:tc>
        <w:tc>
          <w:tcPr>
            <w:tcW w:type="dxa" w:w="2608"/>
          </w:tcPr>
          <w:p>
            <w:pPr>
              <w:spacing w:before="60" w:after="60"/>
            </w:pPr>
            <w:r/>
          </w:p>
        </w:tc>
        <w:tc>
          <w:tcPr>
            <w:tcW w:type="dxa" w:w="1814"/>
          </w:tcPr>
          <w:p>
            <w:pPr>
              <w:spacing w:before="60" w:after="60"/>
            </w:pPr>
            <w:r/>
          </w:p>
        </w:tc>
        <w:tc>
          <w:tcPr>
            <w:tcW w:type="dxa" w:w="2268"/>
          </w:tcPr>
          <w:p>
            <w:pPr>
              <w:spacing w:before="60" w:after="60"/>
            </w:pPr>
            <w:r/>
          </w:p>
        </w:tc>
        <w:tc>
          <w:tcPr>
            <w:tcW w:type="dxa" w:w="2041"/>
          </w:tcPr>
          <w:p>
            <w:pPr>
              <w:spacing w:before="60" w:after="60"/>
            </w:pPr>
            <w:r/>
          </w:p>
        </w:tc>
      </w:tr>
      <w:tr>
        <w:trPr>
          <w:cantSplit w:val="true"/>
          <w:trHeight w:val="850"/>
        </w:trPr>
        <w:tc>
          <w:tcPr>
            <w:tcW w:type="dxa" w:w="907"/>
            <w:shd w:val="clear" w:color="auto" w:fill="F7F0FB"/>
          </w:tcPr>
          <w:p>
            <w:pPr>
              <w:spacing w:before="60" w:after="60"/>
            </w:pPr>
            <w:r>
              <w:rPr>
                <w:b/>
              </w:rPr>
              <w:t>6</w:t>
            </w:r>
          </w:p>
        </w:tc>
        <w:tc>
          <w:tcPr>
            <w:tcW w:type="dxa" w:w="2608"/>
            <w:shd w:val="clear" w:color="auto" w:fill="F7F0FB"/>
          </w:tcPr>
          <w:p>
            <w:pPr>
              <w:spacing w:before="60" w:after="60"/>
            </w:pPr>
            <w:r/>
          </w:p>
        </w:tc>
        <w:tc>
          <w:tcPr>
            <w:tcW w:type="dxa" w:w="1814"/>
            <w:shd w:val="clear" w:color="auto" w:fill="F7F0FB"/>
          </w:tcPr>
          <w:p>
            <w:pPr>
              <w:spacing w:before="60" w:after="60"/>
            </w:pPr>
            <w:r/>
          </w:p>
        </w:tc>
        <w:tc>
          <w:tcPr>
            <w:tcW w:type="dxa" w:w="2268"/>
            <w:shd w:val="clear" w:color="auto" w:fill="F7F0FB"/>
          </w:tcPr>
          <w:p>
            <w:pPr>
              <w:spacing w:before="60" w:after="60"/>
            </w:pPr>
            <w:r/>
          </w:p>
        </w:tc>
        <w:tc>
          <w:tcPr>
            <w:tcW w:type="dxa" w:w="2041"/>
            <w:shd w:val="clear" w:color="auto" w:fill="F7F0FB"/>
          </w:tcPr>
          <w:p>
            <w:pPr>
              <w:spacing w:before="60" w:after="60"/>
            </w:pPr>
            <w:r/>
          </w:p>
        </w:tc>
      </w:tr>
      <w:tr>
        <w:trPr>
          <w:cantSplit w:val="true"/>
          <w:trHeight w:val="850"/>
        </w:trPr>
        <w:tc>
          <w:tcPr>
            <w:tcW w:type="dxa" w:w="907"/>
          </w:tcPr>
          <w:p>
            <w:pPr>
              <w:spacing w:before="60" w:after="60"/>
            </w:pPr>
            <w:r>
              <w:rPr>
                <w:b/>
              </w:rPr>
              <w:t>7</w:t>
            </w:r>
          </w:p>
        </w:tc>
        <w:tc>
          <w:tcPr>
            <w:tcW w:type="dxa" w:w="2608"/>
          </w:tcPr>
          <w:p>
            <w:pPr>
              <w:spacing w:before="60" w:after="60"/>
            </w:pPr>
            <w:r/>
          </w:p>
        </w:tc>
        <w:tc>
          <w:tcPr>
            <w:tcW w:type="dxa" w:w="1814"/>
          </w:tcPr>
          <w:p>
            <w:pPr>
              <w:spacing w:before="60" w:after="60"/>
            </w:pPr>
            <w:r/>
          </w:p>
        </w:tc>
        <w:tc>
          <w:tcPr>
            <w:tcW w:type="dxa" w:w="2268"/>
          </w:tcPr>
          <w:p>
            <w:pPr>
              <w:spacing w:before="60" w:after="60"/>
            </w:pPr>
            <w:r/>
          </w:p>
        </w:tc>
        <w:tc>
          <w:tcPr>
            <w:tcW w:type="dxa" w:w="2041"/>
          </w:tcPr>
          <w:p>
            <w:pPr>
              <w:spacing w:before="60" w:after="60"/>
            </w:pPr>
            <w:r/>
          </w:p>
        </w:tc>
      </w:tr>
      <w:tr>
        <w:trPr>
          <w:cantSplit w:val="true"/>
          <w:trHeight w:val="850"/>
        </w:trPr>
        <w:tc>
          <w:tcPr>
            <w:tcW w:type="dxa" w:w="907"/>
            <w:shd w:val="clear" w:color="auto" w:fill="F7F0FB"/>
          </w:tcPr>
          <w:p>
            <w:pPr>
              <w:spacing w:before="60" w:after="60"/>
            </w:pPr>
            <w:r>
              <w:rPr>
                <w:b/>
              </w:rPr>
              <w:t>8</w:t>
            </w:r>
          </w:p>
        </w:tc>
        <w:tc>
          <w:tcPr>
            <w:tcW w:type="dxa" w:w="2608"/>
            <w:shd w:val="clear" w:color="auto" w:fill="F7F0FB"/>
          </w:tcPr>
          <w:p>
            <w:pPr>
              <w:spacing w:before="60" w:after="60"/>
            </w:pPr>
            <w:r/>
          </w:p>
        </w:tc>
        <w:tc>
          <w:tcPr>
            <w:tcW w:type="dxa" w:w="1814"/>
            <w:shd w:val="clear" w:color="auto" w:fill="F7F0FB"/>
          </w:tcPr>
          <w:p>
            <w:pPr>
              <w:spacing w:before="60" w:after="60"/>
            </w:pPr>
            <w:r/>
          </w:p>
        </w:tc>
        <w:tc>
          <w:tcPr>
            <w:tcW w:type="dxa" w:w="2268"/>
            <w:shd w:val="clear" w:color="auto" w:fill="F7F0FB"/>
          </w:tcPr>
          <w:p>
            <w:pPr>
              <w:spacing w:before="60" w:after="60"/>
            </w:pPr>
            <w:r/>
          </w:p>
        </w:tc>
        <w:tc>
          <w:tcPr>
            <w:tcW w:type="dxa" w:w="2041"/>
            <w:shd w:val="clear" w:color="auto" w:fill="F7F0FB"/>
          </w:tcPr>
          <w:p>
            <w:pPr>
              <w:spacing w:before="60" w:after="60"/>
            </w:pPr>
            <w:r/>
          </w:p>
        </w:tc>
      </w:tr>
      <w:tr>
        <w:trPr>
          <w:cantSplit w:val="true"/>
          <w:trHeight w:val="850"/>
        </w:trPr>
        <w:tc>
          <w:tcPr>
            <w:tcW w:type="dxa" w:w="907"/>
          </w:tcPr>
          <w:p>
            <w:pPr>
              <w:spacing w:before="60" w:after="60"/>
            </w:pPr>
            <w:r>
              <w:rPr>
                <w:b/>
              </w:rPr>
              <w:t>9</w:t>
            </w:r>
          </w:p>
        </w:tc>
        <w:tc>
          <w:tcPr>
            <w:tcW w:type="dxa" w:w="2608"/>
          </w:tcPr>
          <w:p>
            <w:pPr>
              <w:spacing w:before="60" w:after="60"/>
            </w:pPr>
            <w:r/>
          </w:p>
        </w:tc>
        <w:tc>
          <w:tcPr>
            <w:tcW w:type="dxa" w:w="1814"/>
          </w:tcPr>
          <w:p>
            <w:pPr>
              <w:spacing w:before="60" w:after="60"/>
            </w:pPr>
            <w:r/>
          </w:p>
        </w:tc>
        <w:tc>
          <w:tcPr>
            <w:tcW w:type="dxa" w:w="2268"/>
          </w:tcPr>
          <w:p>
            <w:pPr>
              <w:spacing w:before="60" w:after="60"/>
            </w:pPr>
            <w:r/>
          </w:p>
        </w:tc>
        <w:tc>
          <w:tcPr>
            <w:tcW w:type="dxa" w:w="2041"/>
          </w:tcPr>
          <w:p>
            <w:pPr>
              <w:spacing w:before="60" w:after="60"/>
            </w:pPr>
            <w:r/>
          </w:p>
        </w:tc>
      </w:tr>
      <w:tr>
        <w:trPr>
          <w:cantSplit w:val="true"/>
          <w:trHeight w:val="850"/>
        </w:trPr>
        <w:tc>
          <w:tcPr>
            <w:tcW w:type="dxa" w:w="907"/>
            <w:shd w:val="clear" w:color="auto" w:fill="F7F0FB"/>
          </w:tcPr>
          <w:p>
            <w:pPr>
              <w:spacing w:before="60" w:after="60"/>
            </w:pPr>
            <w:r>
              <w:rPr>
                <w:b/>
              </w:rPr>
              <w:t>10</w:t>
            </w:r>
          </w:p>
        </w:tc>
        <w:tc>
          <w:tcPr>
            <w:tcW w:type="dxa" w:w="2608"/>
            <w:shd w:val="clear" w:color="auto" w:fill="F7F0FB"/>
          </w:tcPr>
          <w:p>
            <w:pPr>
              <w:spacing w:before="60" w:after="60"/>
            </w:pPr>
            <w:r/>
          </w:p>
        </w:tc>
        <w:tc>
          <w:tcPr>
            <w:tcW w:type="dxa" w:w="1814"/>
            <w:shd w:val="clear" w:color="auto" w:fill="F7F0FB"/>
          </w:tcPr>
          <w:p>
            <w:pPr>
              <w:spacing w:before="60" w:after="60"/>
            </w:pPr>
            <w:r/>
          </w:p>
        </w:tc>
        <w:tc>
          <w:tcPr>
            <w:tcW w:type="dxa" w:w="2268"/>
            <w:shd w:val="clear" w:color="auto" w:fill="F7F0FB"/>
          </w:tcPr>
          <w:p>
            <w:pPr>
              <w:spacing w:before="60" w:after="60"/>
            </w:pPr>
            <w:r/>
          </w:p>
        </w:tc>
        <w:tc>
          <w:tcPr>
            <w:tcW w:type="dxa" w:w="2041"/>
            <w:shd w:val="clear" w:color="auto" w:fill="F7F0FB"/>
          </w:tcPr>
          <w:p>
            <w:pPr>
              <w:spacing w:before="60" w:after="60"/>
            </w:pPr>
            <w:r/>
          </w:p>
        </w:tc>
      </w:tr>
      <w:tr>
        <w:trPr>
          <w:cantSplit w:val="true"/>
          <w:trHeight w:val="850"/>
        </w:trPr>
        <w:tc>
          <w:tcPr>
            <w:tcW w:type="dxa" w:w="907"/>
          </w:tcPr>
          <w:p>
            <w:pPr>
              <w:spacing w:before="60" w:after="60"/>
            </w:pPr>
            <w:r>
              <w:rPr>
                <w:b/>
              </w:rPr>
              <w:t>11</w:t>
            </w:r>
          </w:p>
        </w:tc>
        <w:tc>
          <w:tcPr>
            <w:tcW w:type="dxa" w:w="2608"/>
          </w:tcPr>
          <w:p>
            <w:pPr>
              <w:spacing w:before="60" w:after="60"/>
            </w:pPr>
            <w:r/>
          </w:p>
        </w:tc>
        <w:tc>
          <w:tcPr>
            <w:tcW w:type="dxa" w:w="1814"/>
          </w:tcPr>
          <w:p>
            <w:pPr>
              <w:spacing w:before="60" w:after="60"/>
            </w:pPr>
            <w:r/>
          </w:p>
        </w:tc>
        <w:tc>
          <w:tcPr>
            <w:tcW w:type="dxa" w:w="2268"/>
          </w:tcPr>
          <w:p>
            <w:pPr>
              <w:spacing w:before="60" w:after="60"/>
            </w:pPr>
            <w:r/>
          </w:p>
        </w:tc>
        <w:tc>
          <w:tcPr>
            <w:tcW w:type="dxa" w:w="2041"/>
          </w:tcPr>
          <w:p>
            <w:pPr>
              <w:spacing w:before="60" w:after="60"/>
            </w:pPr>
            <w:r/>
          </w:p>
        </w:tc>
      </w:tr>
      <w:tr>
        <w:trPr>
          <w:cantSplit w:val="true"/>
          <w:trHeight w:val="850"/>
        </w:trPr>
        <w:tc>
          <w:tcPr>
            <w:tcW w:type="dxa" w:w="907"/>
            <w:shd w:val="clear" w:color="auto" w:fill="F7F0FB"/>
          </w:tcPr>
          <w:p>
            <w:pPr>
              <w:spacing w:before="60" w:after="60"/>
            </w:pPr>
            <w:r>
              <w:rPr>
                <w:b/>
              </w:rPr>
              <w:t>12</w:t>
            </w:r>
          </w:p>
        </w:tc>
        <w:tc>
          <w:tcPr>
            <w:tcW w:type="dxa" w:w="2608"/>
            <w:shd w:val="clear" w:color="auto" w:fill="F7F0FB"/>
          </w:tcPr>
          <w:p>
            <w:pPr>
              <w:spacing w:before="60" w:after="60"/>
            </w:pPr>
            <w:r/>
          </w:p>
        </w:tc>
        <w:tc>
          <w:tcPr>
            <w:tcW w:type="dxa" w:w="1814"/>
            <w:shd w:val="clear" w:color="auto" w:fill="F7F0FB"/>
          </w:tcPr>
          <w:p>
            <w:pPr>
              <w:spacing w:before="60" w:after="60"/>
            </w:pPr>
            <w:r/>
          </w:p>
        </w:tc>
        <w:tc>
          <w:tcPr>
            <w:tcW w:type="dxa" w:w="2268"/>
            <w:shd w:val="clear" w:color="auto" w:fill="F7F0FB"/>
          </w:tcPr>
          <w:p>
            <w:pPr>
              <w:spacing w:before="60" w:after="60"/>
            </w:pPr>
            <w:r/>
          </w:p>
        </w:tc>
        <w:tc>
          <w:tcPr>
            <w:tcW w:type="dxa" w:w="2041"/>
            <w:shd w:val="clear" w:color="auto" w:fill="F7F0FB"/>
          </w:tcPr>
          <w:p>
            <w:pPr>
              <w:spacing w:before="60" w:after="60"/>
            </w:pPr>
            <w:r/>
          </w:p>
        </w:tc>
      </w:tr>
    </w:tbl>
    <w:p>
      <w:pPr>
        <w:spacing w:before="160"/>
      </w:pPr>
      <w:r>
        <w:rPr>
          <w:i/>
          <w:color w:val="5A5766"/>
        </w:rPr>
        <w:t>Drawing on Lave, J. and Wenger, E. (1991) Situated Learning: Legitimate Peripheral Participation, Cambridge University Press, including their description of a newcomer's tasks as short and simple with small costs of error (p. 110). The stages, prompts, checks and example are Coursebox's own. This log gives no score and does not certify competence or authority.</w:t>
      </w:r>
    </w:p>
    <w:sectPr w:rsidR="00FC693F" w:rsidRPr="0006063C" w:rsidSect="00034616">
      <w:headerReference w:type="default" r:id="rId9"/>
      <w:footerReference w:type="default" r:id="rId10"/>
      <w:pgSz w:w="12240" w:h="15840"/>
      <w:pgMar w:top="907" w:right="1134" w:bottom="907" w:left="1134" w:header="454" w:footer="454"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r>
      <w:rPr>
        <w:color w:val="5A5766"/>
        <w:sz w:val="16"/>
      </w:rPr>
      <w:t xml:space="preserve">coursebox.ai  |  free template  |  page </w:t>
    </w:r>
    <w:r>
      <w:rPr>
        <w:color w:val="5A5766"/>
        <w:sz w:val="16"/>
      </w:rPr>
      <w:fldChar w:fldCharType="begin"/>
      <w:instrText xml:space="preserve">PAGE</w:instrText>
      <w:fldChar w:fldCharType="end"/>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r>
      <w:drawing>
        <wp:inline xmlns:a="http://schemas.openxmlformats.org/drawingml/2006/main" xmlns:pic="http://schemas.openxmlformats.org/drawingml/2006/picture">
          <wp:extent cx="216000" cy="216000"/>
          <wp:docPr id="1" name="Picture 1"/>
          <wp:cNvGraphicFramePr>
            <a:graphicFrameLocks noChangeAspect="1"/>
          </wp:cNvGraphicFramePr>
          <a:graphic>
            <a:graphicData uri="http://schemas.openxmlformats.org/drawingml/2006/picture">
              <pic:pic>
                <pic:nvPicPr>
                  <pic:cNvPr id="0" name="coursebox-logomark.png"/>
                  <pic:cNvPicPr/>
                </pic:nvPicPr>
                <pic:blipFill>
                  <a:blip r:embed="rId1"/>
                  <a:stretch>
                    <a:fillRect/>
                  </a:stretch>
                </pic:blipFill>
                <pic:spPr>
                  <a:xfrm>
                    <a:off x="0" y="0"/>
                    <a:ext cx="216000" cy="216000"/>
                  </a:xfrm>
                  <a:prstGeom prst="rect"/>
                </pic:spPr>
              </pic:pic>
            </a:graphicData>
          </a:graphic>
        </wp:inline>
      </w:drawing>
    </w:r>
    <w:r>
      <w:rPr>
        <w:b/>
        <w:color w:val="5D008F"/>
        <w:sz w:val="22"/>
      </w:rPr>
      <w:t xml:space="preserve">  Coursebox</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eastAsia="Calibri"/>
      <w:color w:val="1A162E"/>
      <w:sz w:val="21"/>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