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Planificateur de formation centré sur le problème</w:t>
      </w:r>
    </w:p>
    <w:p>
      <w:r>
        <w:rPr>
          <w:color w:val="5A5766"/>
          <w:sz w:val="22"/>
        </w:rPr>
        <w:t>Planifiez un module constructiviste dans lequel les apprenants tentent de résoudre un problème réaliste avant l’explication, puis apprennent grâce à un exemple résolu, s’exercent avec un soutien qui s’allège, comparent leur raisonnement et tranchent seuls un nouveau cas. Adaptation propre à Coursebox du compagnonnage cognitif (Collins, Brown et Newman, 1989), de l’apprentissage par problèmes (Savery, 2006) et de la résolution de problèmes avant l’enseignement (Sinha et Kapur, 2021). Un outil de planification, et non un instrument validé : il ne donne aucun score. Une formation hypothétique pour les comptables fournisseurs est remplie à titre d’exemple.</w:t>
      </w:r>
    </w:p>
    <w:p>
      <w:r>
        <w:rPr>
          <w:i/>
          <w:color w:val="5A5766"/>
          <w:sz w:val="18"/>
        </w:rPr>
        <w:t>Issu du blog Coursebox : coursebox.ai/blog/constructivism-learning-theory-and-its-elearning-application</w:t>
      </w:r>
    </w:p>
    <w:p>
      <w:pPr>
        <w:keepNext/>
        <w:spacing w:before="240" w:after="80"/>
      </w:pPr>
      <w:r>
        <w:rPr>
          <w:b/>
          <w:color w:val="5D008F"/>
          <w:sz w:val="28"/>
        </w:rPr>
        <w:t>Comment utiliser ce planificateur</w:t>
      </w:r>
    </w:p>
    <w:p>
      <w:pPr>
        <w:pStyle w:val="ListBullet"/>
      </w:pPr>
      <w:r>
        <w:t>Partez d’une décision que les apprenants prennent mal au travail, et non d’un thème. Rédigez-la sous forme de problème.</w:t>
      </w:r>
    </w:p>
    <w:p>
      <w:pPr>
        <w:pStyle w:val="ListBullet"/>
      </w:pPr>
      <w:r>
        <w:t>Listez tout ce dont un apprenant a besoin pour trancher : les documents qu’il verrait, le dossier à vérifier et la règle qui permet de décider. C’est le dossier de cas.</w:t>
      </w:r>
    </w:p>
    <w:p>
      <w:pPr>
        <w:pStyle w:val="ListBullet"/>
      </w:pPr>
      <w:r>
        <w:t>Vérifiez ce que les apprenants savent déjà. Posez la question, testez-les ou regardez leur travail ; ne le déduisez pas d’un intitulé de poste.</w:t>
      </w:r>
    </w:p>
    <w:p>
      <w:pPr>
        <w:pStyle w:val="ListBullet"/>
      </w:pPr>
      <w:r>
        <w:t>Planifiez l’ordre : première tentative, exemple résolu, pratique guidée, comparaison, création de leur propre outil, nouveau cas et courte conclusion.</w:t>
      </w:r>
    </w:p>
    <w:p>
      <w:pPr>
        <w:pStyle w:val="ListBullet"/>
      </w:pPr>
      <w:r>
        <w:t>Pour chaque étape, fixez le niveau d’accompagnement (complet, partiel, léger ou nul) et indiquez précisément quel soutien est disponible. Réduisez le soutien à mesure que les apprenants gagnent en autonomie, et non simplement au fil des pages.</w:t>
      </w:r>
    </w:p>
    <w:p>
      <w:pPr>
        <w:pStyle w:val="ListBullet"/>
      </w:pPr>
      <w:r>
        <w:t>Rédigez l’évaluation sur nouveau cas et ses critères avant d’écrire le moindre contenu, et choisissez un format de réponse qui révèle le raisonnement, en plus des vérifications factuelles.</w:t>
      </w:r>
    </w:p>
    <w:p>
      <w:pPr>
        <w:keepNext/>
        <w:pageBreakBefore/>
        <w:spacing w:before="240" w:after="80"/>
      </w:pPr>
      <w:r>
        <w:rPr>
          <w:b/>
          <w:color w:val="5D008F"/>
          <w:sz w:val="28"/>
        </w:rPr>
        <w:t>Exemple résolu : le problème et le dossier de cas</w:t>
      </w:r>
    </w:p>
    <w:p>
      <w:r>
        <w:t>Exemple hypothétique. Une entreprise industrielle de taille moyenne conçoit une formation autonome de 40 minutes, « Bloquer, vérifier ou payer ? », destinée aux comptables fournisseurs durant leurs trois premiers mois.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Élément</w:t>
            </w:r>
          </w:p>
        </w:tc>
        <w:tc>
          <w:tcPr>
            <w:tcW w:type="dxa" w:w="7087"/>
            <w:shd w:val="clear" w:color="auto" w:fill="5D008F"/>
          </w:tcPr>
          <w:p>
            <w:pPr>
              <w:spacing w:before="60" w:after="60"/>
            </w:pPr>
            <w:r/>
            <w:r>
              <w:rPr>
                <w:b/>
                <w:color w:val="FFFFFF"/>
              </w:rPr>
              <w:t>Formation comptabilité fournisseurs</w:t>
            </w:r>
          </w:p>
        </w:tc>
      </w:tr>
      <w:tr>
        <w:trPr>
          <w:cantSplit w:val="true"/>
        </w:trPr>
        <w:tc>
          <w:tcPr>
            <w:tcW w:type="dxa" w:w="2551"/>
          </w:tcPr>
          <w:p>
            <w:pPr>
              <w:spacing w:before="60" w:after="60"/>
            </w:pPr>
            <w:r>
              <w:rPr>
                <w:b/>
              </w:rPr>
              <w:t>La décision que les apprenants prennent mal</w:t>
            </w:r>
          </w:p>
        </w:tc>
        <w:tc>
          <w:tcPr>
            <w:tcW w:type="dxa" w:w="7087"/>
          </w:tcPr>
          <w:p>
            <w:pPr>
              <w:spacing w:before="60" w:after="60"/>
            </w:pPr>
            <w:r>
              <w:t>Mettre à jour ou non les coordonnées bancaires d’un fournisseur à la réception d’une demande de modification, et que faire du prochain paiement.</w:t>
            </w:r>
          </w:p>
        </w:tc>
      </w:tr>
      <w:tr>
        <w:trPr>
          <w:cantSplit w:val="true"/>
        </w:trPr>
        <w:tc>
          <w:tcPr>
            <w:tcW w:type="dxa" w:w="2551"/>
            <w:shd w:val="clear" w:color="auto" w:fill="F7F0FB"/>
          </w:tcPr>
          <w:p>
            <w:pPr>
              <w:spacing w:before="60" w:after="60"/>
            </w:pPr>
            <w:r>
              <w:rPr>
                <w:b/>
              </w:rPr>
              <w:t>Le problème</w:t>
            </w:r>
          </w:p>
        </w:tc>
        <w:tc>
          <w:tcPr>
            <w:tcW w:type="dxa" w:w="7087"/>
            <w:shd w:val="clear" w:color="auto" w:fill="F7F0FB"/>
          </w:tcPr>
          <w:p>
            <w:pPr>
              <w:spacing w:before="60" w:after="60"/>
            </w:pPr>
            <w:r>
              <w:t>Un mardi, deux jours avant le paiement hebdomadaire, un courriel du contact habituel d’un fournisseur d’emballages de longue date demande à la comptabilité de changer le compte bancaire « pour tous les paiements à partir de cette semaine », car le fournisseur aurait « changé de banque ». Une facture de 48 600 $ est due au paiement de jeudi. Le domaine de l’expéditeur diffère de l’habituel d’une seule lettre.</w:t>
            </w:r>
          </w:p>
        </w:tc>
      </w:tr>
      <w:tr>
        <w:trPr>
          <w:cantSplit w:val="true"/>
        </w:trPr>
        <w:tc>
          <w:tcPr>
            <w:tcW w:type="dxa" w:w="2551"/>
          </w:tcPr>
          <w:p>
            <w:pPr>
              <w:spacing w:before="60" w:after="60"/>
            </w:pPr>
            <w:r>
              <w:rPr>
                <w:b/>
              </w:rPr>
              <w:t>Dossier de cas</w:t>
            </w:r>
          </w:p>
        </w:tc>
        <w:tc>
          <w:tcPr>
            <w:tcW w:type="dxa" w:w="7087"/>
          </w:tcPr>
          <w:p>
            <w:pPr>
              <w:spacing w:before="60" w:after="60"/>
            </w:pPr>
            <w:r>
              <w:t>Le courriel ; la lettre à en-tête avec les nouvelles coordonnées ; la fiche fournisseur de référence (coordonnées bancaires, numéro de téléphone enregistré, aucune modification depuis quatre ans) ; le calendrier des paiements ; la procédure.</w:t>
            </w:r>
          </w:p>
        </w:tc>
      </w:tr>
      <w:tr>
        <w:trPr>
          <w:cantSplit w:val="true"/>
        </w:trPr>
        <w:tc>
          <w:tcPr>
            <w:tcW w:type="dxa" w:w="2551"/>
            <w:shd w:val="clear" w:color="auto" w:fill="F7F0FB"/>
          </w:tcPr>
          <w:p>
            <w:pPr>
              <w:spacing w:before="60" w:after="60"/>
            </w:pPr>
            <w:r>
              <w:rPr>
                <w:b/>
              </w:rPr>
              <w:t>La règle qui permet de trancher</w:t>
            </w:r>
          </w:p>
        </w:tc>
        <w:tc>
          <w:tcPr>
            <w:tcW w:type="dxa" w:w="7087"/>
            <w:shd w:val="clear" w:color="auto" w:fill="F7F0FB"/>
          </w:tcPr>
          <w:p>
            <w:pPr>
              <w:spacing w:before="60" w:after="60"/>
            </w:pPr>
            <w:r>
              <w:t>Confirmer toute modification de coordonnées bancaires en appelant le fournisseur au numéro déjà enregistré, jamais à un numéro figurant dans la demande, et obtenir l’approbation d’un second comptable avant le prochain paiement.</w:t>
            </w:r>
          </w:p>
        </w:tc>
      </w:tr>
      <w:tr>
        <w:trPr>
          <w:cantSplit w:val="true"/>
        </w:trPr>
        <w:tc>
          <w:tcPr>
            <w:tcW w:type="dxa" w:w="2551"/>
          </w:tcPr>
          <w:p>
            <w:pPr>
              <w:spacing w:before="60" w:after="60"/>
            </w:pPr>
            <w:r>
              <w:rPr>
                <w:b/>
              </w:rPr>
              <w:t>Résultat attendu</w:t>
            </w:r>
          </w:p>
        </w:tc>
        <w:tc>
          <w:tcPr>
            <w:tcW w:type="dxa" w:w="7087"/>
          </w:tcPr>
          <w:p>
            <w:pPr>
              <w:spacing w:before="60" w:after="60"/>
            </w:pPr>
            <w:r>
              <w:t>Les comptables jugent une demande de modification au regard de la fiche fournisseur et de la procédure, choisissent entre bloquer, vérifier ou payer, justifient leur choix par écrit et élaborent leur propre contrôle pour la prochaine demande.</w:t>
            </w:r>
          </w:p>
        </w:tc>
      </w:tr>
    </w:tbl>
    <w:p>
      <w:pPr>
        <w:keepNext/>
        <w:spacing w:before="240" w:after="80"/>
      </w:pPr>
      <w:r>
        <w:rPr>
          <w:b/>
          <w:color w:val="5D008F"/>
          <w:sz w:val="28"/>
        </w:rPr>
        <w:t>Exemple résolu : ce que les apprenants savent déjà</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Formation comptabilité fournisseurs</w:t>
            </w:r>
          </w:p>
        </w:tc>
      </w:tr>
      <w:tr>
        <w:trPr>
          <w:cantSplit w:val="true"/>
        </w:trPr>
        <w:tc>
          <w:tcPr>
            <w:tcW w:type="dxa" w:w="3402"/>
          </w:tcPr>
          <w:p>
            <w:pPr>
              <w:spacing w:before="60" w:after="60"/>
            </w:pPr>
            <w:r>
              <w:rPr>
                <w:b/>
              </w:rPr>
              <w:t>Que savent-ils déjà faire ?</w:t>
            </w:r>
          </w:p>
        </w:tc>
        <w:tc>
          <w:tcPr>
            <w:tcW w:type="dxa" w:w="6236"/>
          </w:tcPr>
          <w:p>
            <w:pPr>
              <w:spacing w:before="60" w:after="60"/>
            </w:pPr>
            <w:r>
              <w:t>Saisir des factures et lancer le paiement hebdomadaire dans le système financier.</w:t>
            </w:r>
          </w:p>
        </w:tc>
      </w:tr>
      <w:tr>
        <w:trPr>
          <w:cantSplit w:val="true"/>
        </w:trPr>
        <w:tc>
          <w:tcPr>
            <w:tcW w:type="dxa" w:w="3402"/>
            <w:shd w:val="clear" w:color="auto" w:fill="F7F0FB"/>
          </w:tcPr>
          <w:p>
            <w:pPr>
              <w:spacing w:before="60" w:after="60"/>
            </w:pPr>
            <w:r>
              <w:rPr>
                <w:b/>
              </w:rPr>
              <w:t>Que n’ont-ils pas encore fait ?</w:t>
            </w:r>
          </w:p>
        </w:tc>
        <w:tc>
          <w:tcPr>
            <w:tcW w:type="dxa" w:w="6236"/>
            <w:shd w:val="clear" w:color="auto" w:fill="F7F0FB"/>
          </w:tcPr>
          <w:p>
            <w:pPr>
              <w:spacing w:before="60" w:after="60"/>
            </w:pPr>
            <w:r>
              <w:t>Traiter une demande de modification de coordonnées bancaires, ou lire la procédure de vérification.</w:t>
            </w:r>
          </w:p>
        </w:tc>
      </w:tr>
      <w:tr>
        <w:trPr>
          <w:cantSplit w:val="true"/>
        </w:trPr>
        <w:tc>
          <w:tcPr>
            <w:tcW w:type="dxa" w:w="3402"/>
          </w:tcPr>
          <w:p>
            <w:pPr>
              <w:spacing w:before="60" w:after="60"/>
            </w:pPr>
            <w:r>
              <w:rPr>
                <w:b/>
              </w:rPr>
              <w:t>Que croient-ils probablement ?</w:t>
            </w:r>
          </w:p>
        </w:tc>
        <w:tc>
          <w:tcPr>
            <w:tcW w:type="dxa" w:w="6236"/>
          </w:tcPr>
          <w:p>
            <w:pPr>
              <w:spacing w:before="60" w:after="60"/>
            </w:pPr>
            <w:r>
              <w:t>Une demande du contact habituel est sûre. La première réponse ouverte confirmera ou corrigera cette idée.</w:t>
            </w:r>
          </w:p>
        </w:tc>
      </w:tr>
      <w:tr>
        <w:trPr>
          <w:cantSplit w:val="true"/>
        </w:trPr>
        <w:tc>
          <w:tcPr>
            <w:tcW w:type="dxa" w:w="3402"/>
            <w:shd w:val="clear" w:color="auto" w:fill="F7F0FB"/>
          </w:tcPr>
          <w:p>
            <w:pPr>
              <w:spacing w:before="60" w:after="60"/>
            </w:pPr>
            <w:r>
              <w:rPr>
                <w:b/>
              </w:rPr>
              <w:t>Comment l’avons-nous vérifié ?</w:t>
            </w:r>
          </w:p>
        </w:tc>
        <w:tc>
          <w:tcPr>
            <w:tcW w:type="dxa" w:w="6236"/>
            <w:shd w:val="clear" w:color="auto" w:fill="F7F0FB"/>
          </w:tcPr>
          <w:p>
            <w:pPr>
              <w:spacing w:before="60" w:after="60"/>
            </w:pPr>
            <w:r>
              <w:t>Un échantillon de réponses de nouveaux comptables à une question ouverte sur une demande similaire, avant la rédaction de la formation.</w:t>
            </w:r>
          </w:p>
        </w:tc>
      </w:tr>
    </w:tbl>
    <w:p>
      <w:pPr>
        <w:keepNext/>
        <w:pageBreakBefore/>
        <w:spacing w:before="240" w:after="80"/>
      </w:pPr>
      <w:r>
        <w:rPr>
          <w:b/>
          <w:color w:val="5D008F"/>
          <w:sz w:val="28"/>
        </w:rPr>
        <w:t>Exemple résolu : la séquence et l’accompagnement à chaque étape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Étape</w:t>
            </w:r>
          </w:p>
        </w:tc>
        <w:tc>
          <w:tcPr>
            <w:tcW w:type="dxa" w:w="2835"/>
            <w:shd w:val="clear" w:color="auto" w:fill="5D008F"/>
          </w:tcPr>
          <w:p>
            <w:pPr>
              <w:spacing w:before="60" w:after="60"/>
            </w:pPr>
            <w:r/>
            <w:r>
              <w:rPr>
                <w:b/>
                <w:color w:val="FFFFFF"/>
              </w:rPr>
              <w:t>Ce que font les apprenants</w:t>
            </w:r>
          </w:p>
        </w:tc>
        <w:tc>
          <w:tcPr>
            <w:tcW w:type="dxa" w:w="1247"/>
            <w:shd w:val="clear" w:color="auto" w:fill="5D008F"/>
          </w:tcPr>
          <w:p>
            <w:pPr>
              <w:spacing w:before="60" w:after="60"/>
            </w:pPr>
            <w:r/>
            <w:r>
              <w:rPr>
                <w:b/>
                <w:color w:val="FFFFFF"/>
              </w:rPr>
              <w:t>Niveau d’accompagnement</w:t>
            </w:r>
          </w:p>
        </w:tc>
        <w:tc>
          <w:tcPr>
            <w:tcW w:type="dxa" w:w="2268"/>
            <w:shd w:val="clear" w:color="auto" w:fill="5D008F"/>
          </w:tcPr>
          <w:p>
            <w:pPr>
              <w:spacing w:before="60" w:after="60"/>
            </w:pPr>
            <w:r/>
            <w:r>
              <w:rPr>
                <w:b/>
                <w:color w:val="FFFFFF"/>
              </w:rPr>
              <w:t>Soutien disponible</w:t>
            </w:r>
          </w:p>
        </w:tc>
        <w:tc>
          <w:tcPr>
            <w:tcW w:type="dxa" w:w="1701"/>
            <w:shd w:val="clear" w:color="auto" w:fill="5D008F"/>
          </w:tcPr>
          <w:p>
            <w:pPr>
              <w:spacing w:before="60" w:after="60"/>
            </w:pPr>
            <w:r/>
            <w:r>
              <w:rPr>
                <w:b/>
                <w:color w:val="FFFFFF"/>
              </w:rPr>
              <w:t>Méthode</w:t>
            </w:r>
          </w:p>
        </w:tc>
      </w:tr>
      <w:tr>
        <w:trPr>
          <w:cantSplit w:val="true"/>
        </w:trPr>
        <w:tc>
          <w:tcPr>
            <w:tcW w:type="dxa" w:w="1587"/>
          </w:tcPr>
          <w:p>
            <w:pPr>
              <w:spacing w:before="60" w:after="60"/>
            </w:pPr>
            <w:r>
              <w:rPr>
                <w:b/>
              </w:rPr>
              <w:t>Avant de commencer</w:t>
            </w:r>
          </w:p>
        </w:tc>
        <w:tc>
          <w:tcPr>
            <w:tcW w:type="dxa" w:w="2835"/>
          </w:tcPr>
          <w:p>
            <w:pPr>
              <w:spacing w:before="60" w:after="60"/>
            </w:pPr>
            <w:r>
              <w:t>Découvrir le contenu de la formation et le dossier de cas</w:t>
            </w:r>
          </w:p>
        </w:tc>
        <w:tc>
          <w:tcPr>
            <w:tcW w:type="dxa" w:w="1247"/>
          </w:tcPr>
          <w:p>
            <w:pPr>
              <w:spacing w:before="60" w:after="60"/>
            </w:pPr>
            <w:r>
              <w:t>Léger</w:t>
            </w:r>
          </w:p>
        </w:tc>
        <w:tc>
          <w:tcPr>
            <w:tcW w:type="dxa" w:w="2268"/>
          </w:tcPr>
          <w:p>
            <w:pPr>
              <w:spacing w:before="60" w:after="60"/>
            </w:pPr>
            <w:r>
              <w:t>Courte présentation ; ni procédure ni exposé sur la fraude pour l’instant</w:t>
            </w:r>
          </w:p>
        </w:tc>
        <w:tc>
          <w:tcPr>
            <w:tcW w:type="dxa" w:w="1701"/>
          </w:tcPr>
          <w:p>
            <w:pPr>
              <w:spacing w:before="60" w:after="60"/>
            </w:pPr>
            <w:r>
              <w:t>Apprentissage par problèmes</w:t>
            </w:r>
          </w:p>
        </w:tc>
      </w:tr>
      <w:tr>
        <w:trPr>
          <w:cantSplit w:val="true"/>
        </w:trPr>
        <w:tc>
          <w:tcPr>
            <w:tcW w:type="dxa" w:w="1587"/>
            <w:shd w:val="clear" w:color="auto" w:fill="F7F0FB"/>
          </w:tcPr>
          <w:p>
            <w:pPr>
              <w:spacing w:before="60" w:after="60"/>
            </w:pPr>
            <w:r>
              <w:rPr>
                <w:b/>
              </w:rPr>
              <w:t>Votre première décision</w:t>
            </w:r>
          </w:p>
        </w:tc>
        <w:tc>
          <w:tcPr>
            <w:tcW w:type="dxa" w:w="2835"/>
            <w:shd w:val="clear" w:color="auto" w:fill="F7F0FB"/>
          </w:tcPr>
          <w:p>
            <w:pPr>
              <w:spacing w:before="60" w:after="60"/>
            </w:pPr>
            <w:r>
              <w:t>Lire la demande du mardi et écrire ce qu’ils feraient et pourquoi</w:t>
            </w:r>
          </w:p>
        </w:tc>
        <w:tc>
          <w:tcPr>
            <w:tcW w:type="dxa" w:w="1247"/>
            <w:shd w:val="clear" w:color="auto" w:fill="F7F0FB"/>
          </w:tcPr>
          <w:p>
            <w:pPr>
              <w:spacing w:before="60" w:after="60"/>
            </w:pPr>
            <w:r>
              <w:t>Nul</w:t>
            </w:r>
          </w:p>
        </w:tc>
        <w:tc>
          <w:tcPr>
            <w:tcW w:type="dxa" w:w="2268"/>
            <w:shd w:val="clear" w:color="auto" w:fill="F7F0FB"/>
          </w:tcPr>
          <w:p>
            <w:pPr>
              <w:spacing w:before="60" w:after="60"/>
            </w:pPr>
            <w:r>
              <w:t>On leur dit qu’une première réponse n’a pas besoin d’être juste</w:t>
            </w:r>
          </w:p>
        </w:tc>
        <w:tc>
          <w:tcPr>
            <w:tcW w:type="dxa" w:w="1701"/>
            <w:shd w:val="clear" w:color="auto" w:fill="F7F0FB"/>
          </w:tcPr>
          <w:p>
            <w:pPr>
              <w:spacing w:before="60" w:after="60"/>
            </w:pPr>
            <w:r>
              <w:t>Le problème d’abord</w:t>
            </w:r>
          </w:p>
        </w:tc>
      </w:tr>
      <w:tr>
        <w:trPr>
          <w:cantSplit w:val="true"/>
        </w:trPr>
        <w:tc>
          <w:tcPr>
            <w:tcW w:type="dxa" w:w="1587"/>
          </w:tcPr>
          <w:p>
            <w:pPr>
              <w:spacing w:before="60" w:after="60"/>
            </w:pPr>
            <w:r>
              <w:rPr>
                <w:b/>
              </w:rPr>
              <w:t>Observer un comptable expérimenté</w:t>
            </w:r>
          </w:p>
        </w:tc>
        <w:tc>
          <w:tcPr>
            <w:tcW w:type="dxa" w:w="2835"/>
          </w:tcPr>
          <w:p>
            <w:pPr>
              <w:spacing w:before="60" w:after="60"/>
            </w:pPr>
            <w:r>
              <w:t>Suivre un comptable senior qui réfléchit à voix haute sur une demande antérieure</w:t>
            </w:r>
          </w:p>
        </w:tc>
        <w:tc>
          <w:tcPr>
            <w:tcW w:type="dxa" w:w="1247"/>
          </w:tcPr>
          <w:p>
            <w:pPr>
              <w:spacing w:before="60" w:after="60"/>
            </w:pPr>
            <w:r>
              <w:t>Complet</w:t>
            </w:r>
          </w:p>
        </w:tc>
        <w:tc>
          <w:tcPr>
            <w:tcW w:type="dxa" w:w="2268"/>
          </w:tcPr>
          <w:p>
            <w:pPr>
              <w:spacing w:before="60" w:after="60"/>
            </w:pPr>
            <w:r>
              <w:t>Exemple résolu, pas à pas</w:t>
            </w:r>
          </w:p>
        </w:tc>
        <w:tc>
          <w:tcPr>
            <w:tcW w:type="dxa" w:w="1701"/>
          </w:tcPr>
          <w:p>
            <w:pPr>
              <w:spacing w:before="60" w:after="60"/>
            </w:pPr>
            <w:r>
              <w:t>Apprentissage par cas, modélisation</w:t>
            </w:r>
          </w:p>
        </w:tc>
      </w:tr>
      <w:tr>
        <w:trPr>
          <w:cantSplit w:val="true"/>
        </w:trPr>
        <w:tc>
          <w:tcPr>
            <w:tcW w:type="dxa" w:w="1587"/>
            <w:shd w:val="clear" w:color="auto" w:fill="F7F0FB"/>
          </w:tcPr>
          <w:p>
            <w:pPr>
              <w:spacing w:before="60" w:after="60"/>
            </w:pPr>
            <w:r>
              <w:rPr>
                <w:b/>
              </w:rPr>
              <w:t>Travailler le cas avec des indices</w:t>
            </w:r>
          </w:p>
        </w:tc>
        <w:tc>
          <w:tcPr>
            <w:tcW w:type="dxa" w:w="2835"/>
            <w:shd w:val="clear" w:color="auto" w:fill="F7F0FB"/>
          </w:tcPr>
          <w:p>
            <w:pPr>
              <w:spacing w:before="60" w:after="60"/>
            </w:pPr>
            <w:r>
              <w:t>Vérifier chaque élément du dossier de cas au regard de la demande du mardi</w:t>
            </w:r>
          </w:p>
        </w:tc>
        <w:tc>
          <w:tcPr>
            <w:tcW w:type="dxa" w:w="1247"/>
            <w:shd w:val="clear" w:color="auto" w:fill="F7F0FB"/>
          </w:tcPr>
          <w:p>
            <w:pPr>
              <w:spacing w:before="60" w:after="60"/>
            </w:pPr>
            <w:r>
              <w:t>Partiel</w:t>
            </w:r>
          </w:p>
        </w:tc>
        <w:tc>
          <w:tcPr>
            <w:tcW w:type="dxa" w:w="2268"/>
            <w:shd w:val="clear" w:color="auto" w:fill="F7F0FB"/>
          </w:tcPr>
          <w:p>
            <w:pPr>
              <w:spacing w:before="60" w:after="60"/>
            </w:pPr>
            <w:r>
              <w:t>Indices facultatifs qui indiquent où regarder</w:t>
            </w:r>
          </w:p>
        </w:tc>
        <w:tc>
          <w:tcPr>
            <w:tcW w:type="dxa" w:w="1701"/>
            <w:shd w:val="clear" w:color="auto" w:fill="F7F0FB"/>
          </w:tcPr>
          <w:p>
            <w:pPr>
              <w:spacing w:before="60" w:after="60"/>
            </w:pPr>
            <w:r>
              <w:t>Investigation, accompagnement</w:t>
            </w:r>
          </w:p>
        </w:tc>
      </w:tr>
      <w:tr>
        <w:trPr>
          <w:cantSplit w:val="true"/>
        </w:trPr>
        <w:tc>
          <w:tcPr>
            <w:tcW w:type="dxa" w:w="1587"/>
          </w:tcPr>
          <w:p>
            <w:pPr>
              <w:spacing w:before="60" w:after="60"/>
            </w:pPr>
            <w:r>
              <w:rPr>
                <w:b/>
              </w:rPr>
              <w:t>Comparer votre raisonnement</w:t>
            </w:r>
          </w:p>
        </w:tc>
        <w:tc>
          <w:tcPr>
            <w:tcW w:type="dxa" w:w="2835"/>
          </w:tcPr>
          <w:p>
            <w:pPr>
              <w:spacing w:before="60" w:after="60"/>
            </w:pPr>
            <w:r>
              <w:t>Lire les décisions de deux collègues, dire avec laquelle ils sont d’accord et ce qu’ils changeraient</w:t>
            </w:r>
          </w:p>
        </w:tc>
        <w:tc>
          <w:tcPr>
            <w:tcW w:type="dxa" w:w="1247"/>
          </w:tcPr>
          <w:p>
            <w:pPr>
              <w:spacing w:before="60" w:after="60"/>
            </w:pPr>
            <w:r>
              <w:t>Partiel</w:t>
            </w:r>
          </w:p>
        </w:tc>
        <w:tc>
          <w:tcPr>
            <w:tcW w:type="dxa" w:w="2268"/>
          </w:tcPr>
          <w:p>
            <w:pPr>
              <w:spacing w:before="60" w:after="60"/>
            </w:pPr>
            <w:r>
              <w:t>La procédure et l’exemple résolu</w:t>
            </w:r>
          </w:p>
        </w:tc>
        <w:tc>
          <w:tcPr>
            <w:tcW w:type="dxa" w:w="1701"/>
          </w:tcPr>
          <w:p>
            <w:pPr>
              <w:spacing w:before="60" w:after="60"/>
            </w:pPr>
            <w:r>
              <w:t>Réflexion entre pairs</w:t>
            </w:r>
          </w:p>
        </w:tc>
      </w:tr>
      <w:tr>
        <w:trPr>
          <w:cantSplit w:val="true"/>
        </w:trPr>
        <w:tc>
          <w:tcPr>
            <w:tcW w:type="dxa" w:w="1587"/>
            <w:shd w:val="clear" w:color="auto" w:fill="F7F0FB"/>
          </w:tcPr>
          <w:p>
            <w:pPr>
              <w:spacing w:before="60" w:after="60"/>
            </w:pPr>
            <w:r>
              <w:rPr>
                <w:b/>
              </w:rPr>
              <w:t>Créer votre propre contrôle</w:t>
            </w:r>
          </w:p>
        </w:tc>
        <w:tc>
          <w:tcPr>
            <w:tcW w:type="dxa" w:w="2835"/>
            <w:shd w:val="clear" w:color="auto" w:fill="F7F0FB"/>
          </w:tcPr>
          <w:p>
            <w:pPr>
              <w:spacing w:before="60" w:after="60"/>
            </w:pPr>
            <w:r>
              <w:t>Rédiger une liste de vérification personnelle pour la prochaine demande</w:t>
            </w:r>
          </w:p>
        </w:tc>
        <w:tc>
          <w:tcPr>
            <w:tcW w:type="dxa" w:w="1247"/>
            <w:shd w:val="clear" w:color="auto" w:fill="F7F0FB"/>
          </w:tcPr>
          <w:p>
            <w:pPr>
              <w:spacing w:before="60" w:after="60"/>
            </w:pPr>
            <w:r>
              <w:t>Léger</w:t>
            </w:r>
          </w:p>
        </w:tc>
        <w:tc>
          <w:tcPr>
            <w:tcW w:type="dxa" w:w="2268"/>
            <w:shd w:val="clear" w:color="auto" w:fill="F7F0FB"/>
          </w:tcPr>
          <w:p>
            <w:pPr>
              <w:spacing w:before="60" w:after="60"/>
            </w:pPr>
            <w:r>
              <w:t>Pistes sur ce que couvre une liste de vérification</w:t>
            </w:r>
          </w:p>
        </w:tc>
        <w:tc>
          <w:tcPr>
            <w:tcW w:type="dxa" w:w="1701"/>
            <w:shd w:val="clear" w:color="auto" w:fill="F7F0FB"/>
          </w:tcPr>
          <w:p>
            <w:pPr>
              <w:spacing w:before="60" w:after="60"/>
            </w:pPr>
            <w:r>
              <w:t>Constructionnisme</w:t>
            </w:r>
          </w:p>
        </w:tc>
      </w:tr>
      <w:tr>
        <w:trPr>
          <w:cantSplit w:val="true"/>
        </w:trPr>
        <w:tc>
          <w:tcPr>
            <w:tcW w:type="dxa" w:w="1587"/>
          </w:tcPr>
          <w:p>
            <w:pPr>
              <w:spacing w:before="60" w:after="60"/>
            </w:pPr>
            <w:r>
              <w:rPr>
                <w:b/>
              </w:rPr>
              <w:t>Décision sur un nouveau cas</w:t>
            </w:r>
          </w:p>
        </w:tc>
        <w:tc>
          <w:tcPr>
            <w:tcW w:type="dxa" w:w="2835"/>
          </w:tcPr>
          <w:p>
            <w:pPr>
              <w:spacing w:before="60" w:after="60"/>
            </w:pPr>
            <w:r>
              <w:t>Rédiger une décision sur une nouvelle demande reçue par téléphone</w:t>
            </w:r>
          </w:p>
        </w:tc>
        <w:tc>
          <w:tcPr>
            <w:tcW w:type="dxa" w:w="1247"/>
          </w:tcPr>
          <w:p>
            <w:pPr>
              <w:spacing w:before="60" w:after="60"/>
            </w:pPr>
            <w:r>
              <w:t>Nul</w:t>
            </w:r>
          </w:p>
        </w:tc>
        <w:tc>
          <w:tcPr>
            <w:tcW w:type="dxa" w:w="2268"/>
          </w:tcPr>
          <w:p>
            <w:pPr>
              <w:spacing w:before="60" w:after="60"/>
            </w:pPr>
            <w:r>
              <w:t>La procédure uniquement</w:t>
            </w:r>
          </w:p>
        </w:tc>
        <w:tc>
          <w:tcPr>
            <w:tcW w:type="dxa" w:w="1701"/>
          </w:tcPr>
          <w:p>
            <w:pPr>
              <w:spacing w:before="60" w:after="60"/>
            </w:pPr>
            <w:r>
              <w:t>Exploration</w:t>
            </w:r>
          </w:p>
        </w:tc>
      </w:tr>
      <w:tr>
        <w:trPr>
          <w:cantSplit w:val="true"/>
        </w:trPr>
        <w:tc>
          <w:tcPr>
            <w:tcW w:type="dxa" w:w="1587"/>
            <w:shd w:val="clear" w:color="auto" w:fill="F7F0FB"/>
          </w:tcPr>
          <w:p>
            <w:pPr>
              <w:spacing w:before="60" w:after="60"/>
            </w:pPr>
            <w:r>
              <w:rPr>
                <w:b/>
              </w:rPr>
              <w:t>Conclusion</w:t>
            </w:r>
          </w:p>
        </w:tc>
        <w:tc>
          <w:tcPr>
            <w:tcW w:type="dxa" w:w="2835"/>
            <w:shd w:val="clear" w:color="auto" w:fill="F7F0FB"/>
          </w:tcPr>
          <w:p>
            <w:pPr>
              <w:spacing w:before="60" w:after="60"/>
            </w:pPr>
            <w:r>
              <w:t>Apprendre à signaler un paiement bloqué au fournisseur et à la personne qui approuve</w:t>
            </w:r>
          </w:p>
        </w:tc>
        <w:tc>
          <w:tcPr>
            <w:tcW w:type="dxa" w:w="1247"/>
            <w:shd w:val="clear" w:color="auto" w:fill="F7F0FB"/>
          </w:tcPr>
          <w:p>
            <w:pPr>
              <w:spacing w:before="60" w:after="60"/>
            </w:pPr>
            <w:r>
              <w:t>Complet</w:t>
            </w:r>
          </w:p>
        </w:tc>
        <w:tc>
          <w:tcPr>
            <w:tcW w:type="dxa" w:w="2268"/>
            <w:shd w:val="clear" w:color="auto" w:fill="F7F0FB"/>
          </w:tcPr>
          <w:p>
            <w:pPr>
              <w:spacing w:before="60" w:after="60"/>
            </w:pPr>
            <w:r>
              <w:t>Courte explication</w:t>
            </w:r>
          </w:p>
        </w:tc>
        <w:tc>
          <w:tcPr>
            <w:tcW w:type="dxa" w:w="1701"/>
            <w:shd w:val="clear" w:color="auto" w:fill="F7F0FB"/>
          </w:tcPr>
          <w:p>
            <w:pPr>
              <w:spacing w:before="60" w:after="60"/>
            </w:pPr>
            <w:r>
              <w:t>Enseignement direct</w:t>
            </w:r>
          </w:p>
        </w:tc>
      </w:tr>
    </w:tbl>
    <w:p>
      <w:pPr>
        <w:keepNext/>
        <w:spacing w:before="240" w:after="80"/>
      </w:pPr>
      <w:r>
        <w:rPr>
          <w:b/>
          <w:color w:val="5D008F"/>
          <w:sz w:val="28"/>
        </w:rPr>
        <w:t>Exemple résolu : l’évaluation sur nouveau cas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Élément</w:t>
            </w:r>
          </w:p>
        </w:tc>
        <w:tc>
          <w:tcPr>
            <w:tcW w:type="dxa" w:w="7087"/>
            <w:shd w:val="clear" w:color="auto" w:fill="5D008F"/>
          </w:tcPr>
          <w:p>
            <w:pPr>
              <w:spacing w:before="60" w:after="60"/>
            </w:pPr>
            <w:r/>
            <w:r>
              <w:rPr>
                <w:b/>
                <w:color w:val="FFFFFF"/>
              </w:rPr>
              <w:t>Formation comptabilité fournisseurs</w:t>
            </w:r>
          </w:p>
        </w:tc>
      </w:tr>
      <w:tr>
        <w:trPr>
          <w:cantSplit w:val="true"/>
        </w:trPr>
        <w:tc>
          <w:tcPr>
            <w:tcW w:type="dxa" w:w="2551"/>
          </w:tcPr>
          <w:p>
            <w:pPr>
              <w:spacing w:before="60" w:after="60"/>
            </w:pPr>
            <w:r>
              <w:rPr>
                <w:b/>
              </w:rPr>
              <w:t>Le nouveau cas</w:t>
            </w:r>
          </w:p>
        </w:tc>
        <w:tc>
          <w:tcPr>
            <w:tcW w:type="dxa" w:w="7087"/>
          </w:tcPr>
          <w:p>
            <w:pPr>
              <w:spacing w:before="60" w:after="60"/>
            </w:pPr>
            <w:r>
              <w:t>Un autre fournisseur ; la demande arrive par téléphone et non par courriel ; des signaux d’alerte différents. La réponse du mardi ne peut pas être réutilisée.</w:t>
            </w:r>
          </w:p>
        </w:tc>
      </w:tr>
      <w:tr>
        <w:trPr>
          <w:cantSplit w:val="true"/>
        </w:trPr>
        <w:tc>
          <w:tcPr>
            <w:tcW w:type="dxa" w:w="2551"/>
            <w:shd w:val="clear" w:color="auto" w:fill="F7F0FB"/>
          </w:tcPr>
          <w:p>
            <w:pPr>
              <w:spacing w:before="60" w:after="60"/>
            </w:pPr>
            <w:r>
              <w:rPr>
                <w:b/>
              </w:rPr>
              <w:t>Format de réponse</w:t>
            </w:r>
          </w:p>
        </w:tc>
        <w:tc>
          <w:tcPr>
            <w:tcW w:type="dxa" w:w="7087"/>
            <w:shd w:val="clear" w:color="auto" w:fill="F7F0FB"/>
          </w:tcPr>
          <w:p>
            <w:pPr>
              <w:spacing w:before="60" w:after="60"/>
            </w:pPr>
            <w:r>
              <w:t>Texte libre : la décision et le raisonnement qui la sous-tend.</w:t>
            </w:r>
          </w:p>
        </w:tc>
      </w:tr>
      <w:tr>
        <w:trPr>
          <w:cantSplit w:val="true"/>
        </w:trPr>
        <w:tc>
          <w:tcPr>
            <w:tcW w:type="dxa" w:w="2551"/>
          </w:tcPr>
          <w:p>
            <w:pPr>
              <w:spacing w:before="60" w:after="60"/>
            </w:pPr>
            <w:r>
              <w:rPr>
                <w:b/>
              </w:rPr>
              <w:t>Critère 1</w:t>
            </w:r>
          </w:p>
        </w:tc>
        <w:tc>
          <w:tcPr>
            <w:tcW w:type="dxa" w:w="7087"/>
          </w:tcPr>
          <w:p>
            <w:pPr>
              <w:spacing w:before="60" w:after="60"/>
            </w:pPr>
            <w:r>
              <w:t>A vérifié la demande au regard de la fiche fournisseur de référence.</w:t>
            </w:r>
          </w:p>
        </w:tc>
      </w:tr>
      <w:tr>
        <w:trPr>
          <w:cantSplit w:val="true"/>
        </w:trPr>
        <w:tc>
          <w:tcPr>
            <w:tcW w:type="dxa" w:w="2551"/>
            <w:shd w:val="clear" w:color="auto" w:fill="F7F0FB"/>
          </w:tcPr>
          <w:p>
            <w:pPr>
              <w:spacing w:before="60" w:after="60"/>
            </w:pPr>
            <w:r>
              <w:rPr>
                <w:b/>
              </w:rPr>
              <w:t>Critère 2</w:t>
            </w:r>
          </w:p>
        </w:tc>
        <w:tc>
          <w:tcPr>
            <w:tcW w:type="dxa" w:w="7087"/>
            <w:shd w:val="clear" w:color="auto" w:fill="F7F0FB"/>
          </w:tcPr>
          <w:p>
            <w:pPr>
              <w:spacing w:before="60" w:after="60"/>
            </w:pPr>
            <w:r>
              <w:t>A nommé l’étape de vérification prévue par la procédure.</w:t>
            </w:r>
          </w:p>
        </w:tc>
      </w:tr>
      <w:tr>
        <w:trPr>
          <w:cantSplit w:val="true"/>
        </w:trPr>
        <w:tc>
          <w:tcPr>
            <w:tcW w:type="dxa" w:w="2551"/>
          </w:tcPr>
          <w:p>
            <w:pPr>
              <w:spacing w:before="60" w:after="60"/>
            </w:pPr>
            <w:r>
              <w:rPr>
                <w:b/>
              </w:rPr>
              <w:t>Critère 3</w:t>
            </w:r>
          </w:p>
        </w:tc>
        <w:tc>
          <w:tcPr>
            <w:tcW w:type="dxa" w:w="7087"/>
          </w:tcPr>
          <w:p>
            <w:pPr>
              <w:spacing w:before="60" w:after="60"/>
            </w:pPr>
            <w:r>
              <w:t>A indiqué la prochaine action pour le paiement hebdomadaire.</w:t>
            </w:r>
          </w:p>
        </w:tc>
      </w:tr>
      <w:tr>
        <w:trPr>
          <w:cantSplit w:val="true"/>
        </w:trPr>
        <w:tc>
          <w:tcPr>
            <w:tcW w:type="dxa" w:w="2551"/>
            <w:shd w:val="clear" w:color="auto" w:fill="F7F0FB"/>
          </w:tcPr>
          <w:p>
            <w:pPr>
              <w:spacing w:before="60" w:after="60"/>
            </w:pPr>
            <w:r>
              <w:rPr>
                <w:b/>
              </w:rPr>
              <w:t>Vérification des faits</w:t>
            </w:r>
          </w:p>
        </w:tc>
        <w:tc>
          <w:tcPr>
            <w:tcW w:type="dxa" w:w="7087"/>
            <w:shd w:val="clear" w:color="auto" w:fill="F7F0FB"/>
          </w:tcPr>
          <w:p>
            <w:pPr>
              <w:spacing w:before="60" w:after="60"/>
            </w:pPr>
            <w:r>
              <w:t>Court questionnaire à choix multiples portant uniquement sur les faits de procédure, par exemple qui approuve une modification.</w:t>
            </w:r>
          </w:p>
        </w:tc>
      </w:tr>
      <w:tr>
        <w:trPr>
          <w:cantSplit w:val="true"/>
        </w:trPr>
        <w:tc>
          <w:tcPr>
            <w:tcW w:type="dxa" w:w="2551"/>
          </w:tcPr>
          <w:p>
            <w:pPr>
              <w:spacing w:before="60" w:after="60"/>
            </w:pPr>
            <w:r>
              <w:rPr>
                <w:b/>
              </w:rPr>
              <w:t>Sur le terrain, plus tard</w:t>
            </w:r>
          </w:p>
        </w:tc>
        <w:tc>
          <w:tcPr>
            <w:tcW w:type="dxa" w:w="7087"/>
          </w:tcPr>
          <w:p>
            <w:pPr>
              <w:spacing w:before="60" w:after="60"/>
            </w:pPr>
            <w:r>
              <w:t>Examiner les demandes de modification traitées par chaque comptable au cours des semaines suivantes.</w:t>
            </w:r>
          </w:p>
        </w:tc>
      </w:tr>
    </w:tbl>
    <w:p>
      <w:pPr>
        <w:keepNext/>
        <w:pageBreakBefore/>
        <w:spacing w:before="240" w:after="80"/>
      </w:pPr>
      <w:r>
        <w:rPr>
          <w:b/>
          <w:color w:val="5D008F"/>
          <w:sz w:val="28"/>
        </w:rPr>
        <w:t>Votre module : le problème et le dossier de cas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Élément</w:t>
            </w:r>
          </w:p>
        </w:tc>
        <w:tc>
          <w:tcPr>
            <w:tcW w:type="dxa" w:w="7087"/>
            <w:shd w:val="clear" w:color="auto" w:fill="5D008F"/>
          </w:tcPr>
          <w:p>
            <w:pPr>
              <w:spacing w:before="60" w:after="60"/>
            </w:pPr>
            <w:r/>
            <w:r>
              <w:rPr>
                <w:b/>
                <w:color w:val="FFFFFF"/>
              </w:rPr>
              <w:t>Votre formation</w:t>
            </w:r>
          </w:p>
        </w:tc>
      </w:tr>
      <w:tr>
        <w:trPr>
          <w:cantSplit w:val="true"/>
          <w:trHeight w:val="1247"/>
        </w:trPr>
        <w:tc>
          <w:tcPr>
            <w:tcW w:type="dxa" w:w="2551"/>
          </w:tcPr>
          <w:p>
            <w:pPr>
              <w:spacing w:before="60" w:after="60"/>
            </w:pPr>
            <w:r>
              <w:rPr>
                <w:b/>
              </w:rPr>
              <w:t>La décision que les apprenants prennent mal</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Le problème</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Dossier de cas</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La règle qui permet de trancher</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Résultat attendu</w:t>
            </w:r>
          </w:p>
        </w:tc>
        <w:tc>
          <w:tcPr>
            <w:tcW w:type="dxa" w:w="7087"/>
          </w:tcPr>
          <w:p>
            <w:pPr>
              <w:spacing w:before="60" w:after="60"/>
            </w:pPr>
            <w:r/>
          </w:p>
        </w:tc>
      </w:tr>
    </w:tbl>
    <w:p>
      <w:pPr>
        <w:keepNext/>
        <w:spacing w:before="240" w:after="80"/>
      </w:pPr>
      <w:r>
        <w:rPr>
          <w:b/>
          <w:color w:val="5D008F"/>
          <w:sz w:val="28"/>
        </w:rPr>
        <w:t>Votre module : ce que les apprenants savent déjà</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Votre réponse</w:t>
            </w:r>
          </w:p>
        </w:tc>
      </w:tr>
      <w:tr>
        <w:trPr>
          <w:cantSplit w:val="true"/>
          <w:trHeight w:val="1020"/>
        </w:trPr>
        <w:tc>
          <w:tcPr>
            <w:tcW w:type="dxa" w:w="3402"/>
          </w:tcPr>
          <w:p>
            <w:pPr>
              <w:spacing w:before="60" w:after="60"/>
            </w:pPr>
            <w:r>
              <w:rPr>
                <w:b/>
              </w:rPr>
              <w:t>Que savent-ils déjà faire ?</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Que n’ont-ils pas encore fait ?</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Que croient-ils probablement ?</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Comment l’avez-vous vérifié ?</w:t>
            </w:r>
          </w:p>
        </w:tc>
        <w:tc>
          <w:tcPr>
            <w:tcW w:type="dxa" w:w="6236"/>
            <w:shd w:val="clear" w:color="auto" w:fill="F7F0FB"/>
          </w:tcPr>
          <w:p>
            <w:pPr>
              <w:spacing w:before="60" w:after="60"/>
            </w:pPr>
            <w:r/>
          </w:p>
        </w:tc>
      </w:tr>
    </w:tbl>
    <w:p>
      <w:pPr>
        <w:keepNext/>
        <w:pageBreakBefore/>
        <w:spacing w:before="240" w:after="80"/>
      </w:pPr>
      <w:r>
        <w:rPr>
          <w:b/>
          <w:color w:val="5D008F"/>
          <w:sz w:val="28"/>
        </w:rPr>
        <w:t>Votre module : la séquence et l’accompagnement à chaque étape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Étape</w:t>
            </w:r>
          </w:p>
        </w:tc>
        <w:tc>
          <w:tcPr>
            <w:tcW w:type="dxa" w:w="2835"/>
            <w:shd w:val="clear" w:color="auto" w:fill="5D008F"/>
          </w:tcPr>
          <w:p>
            <w:pPr>
              <w:spacing w:before="60" w:after="60"/>
            </w:pPr>
            <w:r/>
            <w:r>
              <w:rPr>
                <w:b/>
                <w:color w:val="FFFFFF"/>
              </w:rPr>
              <w:t>Ce que font les apprenants</w:t>
            </w:r>
          </w:p>
        </w:tc>
        <w:tc>
          <w:tcPr>
            <w:tcW w:type="dxa" w:w="1247"/>
            <w:shd w:val="clear" w:color="auto" w:fill="5D008F"/>
          </w:tcPr>
          <w:p>
            <w:pPr>
              <w:spacing w:before="60" w:after="60"/>
            </w:pPr>
            <w:r/>
            <w:r>
              <w:rPr>
                <w:b/>
                <w:color w:val="FFFFFF"/>
              </w:rPr>
              <w:t>Niveau d’accompagnement</w:t>
            </w:r>
          </w:p>
        </w:tc>
        <w:tc>
          <w:tcPr>
            <w:tcW w:type="dxa" w:w="2268"/>
            <w:shd w:val="clear" w:color="auto" w:fill="5D008F"/>
          </w:tcPr>
          <w:p>
            <w:pPr>
              <w:spacing w:before="60" w:after="60"/>
            </w:pPr>
            <w:r/>
            <w:r>
              <w:rPr>
                <w:b/>
                <w:color w:val="FFFFFF"/>
              </w:rPr>
              <w:t>Soutien disponible</w:t>
            </w:r>
          </w:p>
        </w:tc>
        <w:tc>
          <w:tcPr>
            <w:tcW w:type="dxa" w:w="1701"/>
            <w:shd w:val="clear" w:color="auto" w:fill="5D008F"/>
          </w:tcPr>
          <w:p>
            <w:pPr>
              <w:spacing w:before="60" w:after="60"/>
            </w:pPr>
            <w:r/>
            <w:r>
              <w:rPr>
                <w:b/>
                <w:color w:val="FFFFFF"/>
              </w:rPr>
              <w:t>Méthode</w:t>
            </w:r>
          </w:p>
        </w:tc>
      </w:tr>
      <w:tr>
        <w:trPr>
          <w:cantSplit w:val="true"/>
          <w:trHeight w:val="1134"/>
        </w:trPr>
        <w:tc>
          <w:tcPr>
            <w:tcW w:type="dxa" w:w="1587"/>
          </w:tcPr>
          <w:p>
            <w:pPr>
              <w:spacing w:before="60" w:after="60"/>
            </w:pPr>
            <w:r>
              <w:rPr>
                <w:b/>
              </w:rPr>
              <w:t>Première tentative</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Exemple résolu</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Pratique guidée</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Comparaison des raisonnements</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Création de leur propre outil</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Nouveau cas</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Conclusion</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Votre module : l’évaluation sur nouveau cas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Élément</w:t>
            </w:r>
          </w:p>
        </w:tc>
        <w:tc>
          <w:tcPr>
            <w:tcW w:type="dxa" w:w="7087"/>
            <w:shd w:val="clear" w:color="auto" w:fill="5D008F"/>
          </w:tcPr>
          <w:p>
            <w:pPr>
              <w:spacing w:before="60" w:after="60"/>
            </w:pPr>
            <w:r/>
            <w:r>
              <w:rPr>
                <w:b/>
                <w:color w:val="FFFFFF"/>
              </w:rPr>
              <w:t>Votre formation</w:t>
            </w:r>
          </w:p>
        </w:tc>
      </w:tr>
      <w:tr>
        <w:trPr>
          <w:cantSplit w:val="true"/>
          <w:trHeight w:val="1077"/>
        </w:trPr>
        <w:tc>
          <w:tcPr>
            <w:tcW w:type="dxa" w:w="2551"/>
          </w:tcPr>
          <w:p>
            <w:pPr>
              <w:spacing w:before="60" w:after="60"/>
            </w:pPr>
            <w:r>
              <w:rPr>
                <w:b/>
              </w:rPr>
              <w:t>Le nouveau cas</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Format de réponse</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Critère 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Critère 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Critère 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Vérification des faits</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Sur le terrain, plus tard</w:t>
            </w:r>
          </w:p>
        </w:tc>
        <w:tc>
          <w:tcPr>
            <w:tcW w:type="dxa" w:w="7087"/>
          </w:tcPr>
          <w:p>
            <w:pPr>
              <w:spacing w:before="60" w:after="60"/>
            </w:pPr>
            <w:r/>
          </w:p>
        </w:tc>
      </w:tr>
    </w:tbl>
    <w:p>
      <w:pPr>
        <w:keepNext/>
        <w:pageBreakBefore/>
        <w:spacing w:before="240" w:after="80"/>
      </w:pPr>
      <w:r>
        <w:rPr>
          <w:b/>
          <w:color w:val="5D008F"/>
          <w:sz w:val="28"/>
        </w:rPr>
        <w:t>Vérifiez votre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Vérification</w:t>
            </w:r>
          </w:p>
        </w:tc>
        <w:tc>
          <w:tcPr>
            <w:tcW w:type="dxa" w:w="3685"/>
            <w:shd w:val="clear" w:color="auto" w:fill="5D008F"/>
          </w:tcPr>
          <w:p>
            <w:pPr>
              <w:spacing w:before="60" w:after="60"/>
            </w:pPr>
            <w:r/>
            <w:r>
              <w:rPr>
                <w:b/>
                <w:color w:val="FFFFFF"/>
              </w:rPr>
              <w:t>Oui ou notes</w:t>
            </w:r>
          </w:p>
        </w:tc>
      </w:tr>
      <w:tr>
        <w:trPr>
          <w:cantSplit w:val="true"/>
          <w:trHeight w:val="850"/>
        </w:trPr>
        <w:tc>
          <w:tcPr>
            <w:tcW w:type="dxa" w:w="5953"/>
          </w:tcPr>
          <w:p>
            <w:pPr>
              <w:spacing w:before="60" w:after="60"/>
            </w:pPr>
            <w:r>
              <w:t>Le dossier de cas donne-t-il aux apprenants tout ce dont la décision a besoin ?</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Avez-vous vérifié ce que les apprenants savent déjà, plutôt que de le supposer ?</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L’ordre d’ouverture convient-il aux connaissances préalables, avec un exemple résolu en premier si nécessaire ?</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Y a-t-il un exemple résolu avant la pratique guidée ?</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Le soutien diminue-t-il d’une étape à l’autre, pour être nul sur le nouveau cas ?</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Le nouveau cas est-il assez différent pour que la première réponse ne puisse pas être réutilisée ?</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La tâche finale évalue-t-elle la décision et le raisonnement qui la sous-tend ?</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Savez-vous comment vous vérifierez ensuite le travail sur le terrain ?</w:t>
            </w:r>
          </w:p>
        </w:tc>
        <w:tc>
          <w:tcPr>
            <w:tcW w:type="dxa" w:w="3685"/>
            <w:shd w:val="clear" w:color="auto" w:fill="F7F0FB"/>
          </w:tcPr>
          <w:p>
            <w:pPr>
              <w:spacing w:before="60" w:after="60"/>
            </w:pPr>
            <w:r/>
          </w:p>
        </w:tc>
      </w:tr>
    </w:tbl>
    <w:p>
      <w:pPr>
        <w:spacing w:before="160"/>
      </w:pPr>
      <w:r>
        <w:rPr>
          <w:i/>
          <w:color w:val="5A5766"/>
        </w:rPr>
        <w:t>Adaptation propre à Coursebox. Sources des méthodes : Collins, A., Brown, J. S. et Newman, S. E. (1989) Cognitive apprenticeship ; Savery, J. R. (2006) Overview of problem-based learning ; Sinha, T. et Kapur, M. (2021) When problem solving followed by instruction works. Ce planificateur ne donne aucun score : un plan complété ne prouve pas que les apprenants décideront bien sur le terrain. Testez-le en phase pilote et vérifiez le travail.</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modèle gratuit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