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Action-Map-Planer</w:t>
      </w:r>
    </w:p>
    <w:p>
      <w:r>
        <w:rPr>
          <w:color w:val="5A5766"/>
          <w:sz w:val="22"/>
        </w:rPr>
        <w:t>Damit machen Sie aus einer Schulungsanfrage eine Action Map, bevor jemand einen Kurs erstellt: das Geschäftsziel, die Handlungen im Arbeitsalltag, warum Mitarbeitende die jeweilige Handlung nicht ausführen, die Übung und die Mindestinformationen für die Handlungen mit Schulungsbedarf und wie Sie das Ziel überprüfen. Eine Coursebox-Adaption von Cathy Moores Action Mapping, nicht ihr eigenes Arbeitsblatt; der Planer vergibt keine Bewertung. Das ausgefüllte Beispiel ist die Kundenübergabe eines fiktiven Installateurs von Solaranlagen und Batteriespeichern, mit beispielhaften Zahlen.</w:t>
      </w:r>
    </w:p>
    <w:p>
      <w:r>
        <w:rPr>
          <w:i/>
          <w:color w:val="5A5766"/>
          <w:sz w:val="18"/>
        </w:rPr>
        <w:t>Aus dem Coursebox-Blog: coursebox.ai/de/blog/aktions-mapping</w:t>
      </w:r>
    </w:p>
    <w:p>
      <w:pPr>
        <w:keepNext/>
        <w:spacing w:before="240" w:after="80"/>
      </w:pPr>
      <w:r>
        <w:rPr>
          <w:b/>
          <w:color w:val="5D008F"/>
          <w:sz w:val="28"/>
        </w:rPr>
        <w:t>So verwenden Sie diesen Planer</w:t>
      </w:r>
    </w:p>
    <w:p>
      <w:pPr>
        <w:pStyle w:val="ListBullet"/>
      </w:pPr>
      <w:r>
        <w:t>Füllen Sie ihn gemeinsam mit dem Auftraggeber und einer Fachperson aus, nicht allein (im Beispiel: die Betriebsleitung, zwei Montageleiter und das Support-Team). Moore schätzt, dass ein einziges zweistündiges Meeting oft für das Ziel und die Handlungen ausreicht.</w:t>
      </w:r>
    </w:p>
    <w:p>
      <w:pPr>
        <w:pStyle w:val="ListBullet"/>
      </w:pPr>
      <w:r>
        <w:t>Schreiben Sie zuerst das Ziel auf und nutzen Sie dafür eine Kennzahl, die das Unternehmen bereits erfasst. Der Abschluss der Schulung ist kein Geschäftsziel.</w:t>
      </w:r>
    </w:p>
    <w:p>
      <w:pPr>
        <w:pStyle w:val="ListBullet"/>
      </w:pPr>
      <w:r>
        <w:t>Führen Sie Handlungen auf, die eine Führungskraft beobachten und abhaken könnte. Vermeiden Sie Verben, die nur in einem Test vorkommen, etwa definieren oder identifizieren.</w:t>
      </w:r>
    </w:p>
    <w:p>
      <w:pPr>
        <w:pStyle w:val="ListBullet"/>
      </w:pPr>
      <w:r>
        <w:t>Prüfen Sie jede wichtige Handlung anhand der vier Fragen in Teil 2, das Umfeld zuerst. Notieren Sie die Lösung, die zur Ursache passt, auch wenn sie keine Schulung ist.</w:t>
      </w:r>
    </w:p>
    <w:p>
      <w:pPr>
        <w:pStyle w:val="ListBullet"/>
      </w:pPr>
      <w:r>
        <w:t>Planen Sie Übungen nur für die Handlungen, die für eine Schulung markiert sind, und ergänzen Sie nur die Informationen, die diese Übungen brauchen. Entscheiden Sie für jede Information, ob sie ins Gedächtnis oder in eine Arbeitshilfe gehört.</w:t>
      </w:r>
    </w:p>
    <w:p>
      <w:pPr>
        <w:pStyle w:val="ListBullet"/>
      </w:pPr>
      <w:r>
        <w:t>Lassen Sie die Maßnahmen ohne Schulung auf der Map stehen. Sie sind Teil der Lösung, und das Ziel hängt von ihnen ab.</w:t>
      </w:r>
    </w:p>
    <w:p>
      <w:pPr>
        <w:keepNext/>
        <w:spacing w:before="240" w:after="80"/>
      </w:pPr>
      <w:r>
        <w:rPr>
          <w:b/>
          <w:color w:val="5D008F"/>
          <w:sz w:val="28"/>
        </w:rPr>
        <w:t>Teil 1. Das Geschäftsziel</w:t>
      </w:r>
    </w:p>
    <w:p>
      <w:r>
        <w:t>Moores Muster: „Eine Kennzahl, die wir bereits nutzen, wird bis Datum um X % steigen/sinken, weil Personen einer bestimmten Gruppe etwas TUN“ (Action mapping workflow at a glance). Die mittlere Spalte zeigt das Solarbeispiel, die rechte Spalte ist für Ihr Projekt.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Pr>
                <w:color w:val="FFFFFF"/>
              </w:rPr>
            </w:r>
            <w:r>
              <w:rPr>
                <w:b/>
                <w:color w:val="FFFFFF"/>
              </w:rPr>
              <w:t>Frage</w:t>
            </w:r>
          </w:p>
        </w:tc>
        <w:tc>
          <w:tcPr>
            <w:tcW w:type="dxa" w:w="3855"/>
            <w:shd w:val="clear" w:color="auto" w:fill="5D008F"/>
          </w:tcPr>
          <w:p>
            <w:pPr>
              <w:spacing w:before="60" w:after="60"/>
            </w:pPr>
            <w:r>
              <w:rPr>
                <w:color w:val="FFFFFF"/>
              </w:rPr>
            </w:r>
            <w:r>
              <w:rPr>
                <w:b/>
                <w:color w:val="FFFFFF"/>
              </w:rPr>
              <w:t>Solar-Übergabe (Beispiel)</w:t>
            </w:r>
          </w:p>
        </w:tc>
        <w:tc>
          <w:tcPr>
            <w:tcW w:type="dxa" w:w="3175"/>
            <w:shd w:val="clear" w:color="auto" w:fill="5D008F"/>
          </w:tcPr>
          <w:p>
            <w:pPr>
              <w:spacing w:before="60" w:after="60"/>
            </w:pPr>
            <w:r>
              <w:rPr>
                <w:color w:val="FFFFFF"/>
              </w:rPr>
            </w:r>
            <w:r>
              <w:rPr>
                <w:b/>
                <w:color w:val="FFFFFF"/>
              </w:rPr>
              <w:t>Ihr Projekt</w:t>
            </w:r>
          </w:p>
        </w:tc>
      </w:tr>
      <w:tr>
        <w:trPr>
          <w:cantSplit w:val="true"/>
          <w:trHeight w:val="737"/>
        </w:trPr>
        <w:tc>
          <w:tcPr>
            <w:tcW w:type="dxa" w:w="2608"/>
          </w:tcPr>
          <w:p>
            <w:pPr>
              <w:spacing w:before="60" w:after="60"/>
            </w:pPr>
            <w:r>
              <w:rPr>
                <w:b/>
              </w:rPr>
              <w:t>Wie lautete die ursprüngliche Anfrage?</w:t>
            </w:r>
          </w:p>
        </w:tc>
        <w:tc>
          <w:tcPr>
            <w:tcW w:type="dxa" w:w="3855"/>
          </w:tcPr>
          <w:p>
            <w:pPr>
              <w:spacing w:before="60" w:after="60"/>
            </w:pPr>
            <w:r>
              <w:t>„Ein Kurs für unsere Monteure darüber, wie Solaranlagen funktionieren, zu Wechselrichtertypen, Batteriegrundlagen und gutem Kundenservice.“</w:t>
            </w:r>
          </w:p>
        </w:tc>
        <w:tc>
          <w:tcPr>
            <w:tcW w:type="dxa" w:w="3175"/>
          </w:tcPr>
          <w:p>
            <w:pPr>
              <w:spacing w:before="60" w:after="60"/>
            </w:pPr>
            <w:r/>
          </w:p>
        </w:tc>
      </w:tr>
      <w:tr>
        <w:trPr>
          <w:cantSplit w:val="true"/>
          <w:trHeight w:val="737"/>
        </w:trPr>
        <w:tc>
          <w:tcPr>
            <w:tcW w:type="dxa" w:w="2608"/>
            <w:shd w:val="clear" w:color="auto" w:fill="F7F0FB"/>
          </w:tcPr>
          <w:p>
            <w:pPr>
              <w:spacing w:before="60" w:after="60"/>
            </w:pPr>
            <w:r>
              <w:rPr>
                <w:b/>
              </w:rPr>
              <w:t>Welches Problem misst das Unternehmen bereits, und wie hoch ist der Ausgangswert?</w:t>
            </w:r>
          </w:p>
        </w:tc>
        <w:tc>
          <w:tcPr>
            <w:tcW w:type="dxa" w:w="3855"/>
            <w:shd w:val="clear" w:color="auto" w:fill="F7F0FB"/>
          </w:tcPr>
          <w:p>
            <w:pPr>
              <w:spacing w:before="60" w:after="60"/>
            </w:pPr>
            <w:r>
              <w:t>Bei etwa 1 von 3 Aufträgen geht innerhalb von 30 Tagen nach der Installation ein Anruf bei der Support-Hotline ein (Support-Protokoll).</w:t>
            </w:r>
          </w:p>
        </w:tc>
        <w:tc>
          <w:tcPr>
            <w:tcW w:type="dxa" w:w="3175"/>
            <w:shd w:val="clear" w:color="auto" w:fill="F7F0FB"/>
          </w:tcPr>
          <w:p>
            <w:pPr>
              <w:spacing w:before="60" w:after="60"/>
            </w:pPr>
            <w:r/>
          </w:p>
        </w:tc>
      </w:tr>
      <w:tr>
        <w:trPr>
          <w:cantSplit w:val="true"/>
          <w:trHeight w:val="737"/>
        </w:trPr>
        <w:tc>
          <w:tcPr>
            <w:tcW w:type="dxa" w:w="2608"/>
          </w:tcPr>
          <w:p>
            <w:pPr>
              <w:spacing w:before="60" w:after="60"/>
            </w:pPr>
            <w:r>
              <w:rPr>
                <w:b/>
              </w:rPr>
              <w:t>Zielsatz: Kennzahl, Veränderung, Datum, wer handelt</w:t>
            </w:r>
          </w:p>
        </w:tc>
        <w:tc>
          <w:tcPr>
            <w:tcW w:type="dxa" w:w="3855"/>
          </w:tcPr>
          <w:p>
            <w:pPr>
              <w:spacing w:before="60" w:after="60"/>
            </w:pPr>
            <w:r>
              <w:t>Kundenanrufe bei der Support-Hotline in den ersten 30 Tagen nach der Installation sinken bis zum 30. Juni von etwa 1 von 3 Aufträgen auf 1 von 6, weil Montageleiter die Kundenübergabe abschließen, bevor sie die Baustelle verlassen.</w:t>
            </w:r>
          </w:p>
        </w:tc>
        <w:tc>
          <w:tcPr>
            <w:tcW w:type="dxa" w:w="3175"/>
          </w:tcPr>
          <w:p>
            <w:pPr>
              <w:spacing w:before="60" w:after="60"/>
            </w:pPr>
            <w:r/>
          </w:p>
        </w:tc>
      </w:tr>
      <w:tr>
        <w:trPr>
          <w:cantSplit w:val="true"/>
          <w:trHeight w:val="737"/>
        </w:trPr>
        <w:tc>
          <w:tcPr>
            <w:tcW w:type="dxa" w:w="2608"/>
            <w:shd w:val="clear" w:color="auto" w:fill="F7F0FB"/>
          </w:tcPr>
          <w:p>
            <w:pPr>
              <w:spacing w:before="60" w:after="60"/>
            </w:pPr>
            <w:r>
              <w:rPr>
                <w:b/>
              </w:rPr>
              <w:t>Wer berichtet die Kennzahl, und wann?</w:t>
            </w:r>
          </w:p>
        </w:tc>
        <w:tc>
          <w:tcPr>
            <w:tcW w:type="dxa" w:w="3855"/>
            <w:shd w:val="clear" w:color="auto" w:fill="F7F0FB"/>
          </w:tcPr>
          <w:p>
            <w:pPr>
              <w:spacing w:before="60" w:after="60"/>
            </w:pPr>
            <w:r>
              <w:t>Die Betriebsleitung, monatlich, je Montageleiter.</w:t>
            </w:r>
          </w:p>
        </w:tc>
        <w:tc>
          <w:tcPr>
            <w:tcW w:type="dxa" w:w="3175"/>
            <w:shd w:val="clear" w:color="auto" w:fill="F7F0FB"/>
          </w:tcPr>
          <w:p>
            <w:pPr>
              <w:spacing w:before="60" w:after="60"/>
            </w:pPr>
            <w:r/>
          </w:p>
        </w:tc>
      </w:tr>
    </w:tbl>
    <w:p>
      <w:pPr>
        <w:keepNext/>
        <w:pageBreakBefore/>
        <w:spacing w:before="240" w:after="80"/>
      </w:pPr>
      <w:r>
        <w:rPr>
          <w:b/>
          <w:color w:val="5D008F"/>
          <w:sz w:val="28"/>
        </w:rPr>
        <w:t>Teil 2. Handlungen, und warum tun sie es nicht? (Beispiel)</w:t>
      </w:r>
    </w:p>
    <w:p>
      <w:r>
        <w:t>Stellen Sie für jede Handlung Moores vier Fragen aus dem Flussdiagramm, das Umfeld zuerst. Umfeld: Haben die Mitarbeitenden Zeit, Werkzeuge, Einsatzplan und Prozess dafür, und wird womöglich etwas anderes belohnt? Wissen: Fehlen Informationen, und gehören sie in eine Arbeitshilfe oder ins Gedächtnis? Fähigkeiten: Würden sie es mit Übung besser machen? Motivation: Falls die Motivation fehlt, liegt die Ursache im Umfeld, im Wissen oder in den Fähigkeiten? Fiktive Ergebnisse aus Gesprächen mit zwei Montageleitern und dem Support-Team:</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Pr>
                <w:color w:val="FFFFFF"/>
              </w:rPr>
            </w:r>
            <w:r>
              <w:rPr>
                <w:b/>
                <w:color w:val="FFFFFF"/>
              </w:rPr>
              <w:t>Beobachtbare Handlung</w:t>
            </w:r>
          </w:p>
        </w:tc>
        <w:tc>
          <w:tcPr>
            <w:tcW w:type="dxa" w:w="2835"/>
            <w:shd w:val="clear" w:color="auto" w:fill="5D008F"/>
          </w:tcPr>
          <w:p>
            <w:pPr>
              <w:spacing w:before="60" w:after="60"/>
            </w:pPr>
            <w:r>
              <w:rPr>
                <w:color w:val="FFFFFF"/>
              </w:rPr>
            </w:r>
            <w:r>
              <w:rPr>
                <w:b/>
                <w:color w:val="FFFFFF"/>
              </w:rPr>
              <w:t>Warum tun sie es nicht?</w:t>
            </w:r>
          </w:p>
        </w:tc>
        <w:tc>
          <w:tcPr>
            <w:tcW w:type="dxa" w:w="2835"/>
            <w:shd w:val="clear" w:color="auto" w:fill="5D008F"/>
          </w:tcPr>
          <w:p>
            <w:pPr>
              <w:spacing w:before="60" w:after="60"/>
            </w:pPr>
            <w:r>
              <w:rPr>
                <w:color w:val="FFFFFF"/>
              </w:rPr>
            </w:r>
            <w:r>
              <w:rPr>
                <w:b/>
                <w:color w:val="FFFFFF"/>
              </w:rPr>
              <w:t>Lösung ohne Schulung</w:t>
            </w:r>
          </w:p>
        </w:tc>
        <w:tc>
          <w:tcPr>
            <w:tcW w:type="dxa" w:w="1474"/>
            <w:shd w:val="clear" w:color="auto" w:fill="5D008F"/>
          </w:tcPr>
          <w:p>
            <w:pPr>
              <w:spacing w:before="60" w:after="60"/>
            </w:pPr>
            <w:r>
              <w:rPr>
                <w:color w:val="FFFFFF"/>
              </w:rPr>
            </w:r>
            <w:r>
              <w:rPr>
                <w:b/>
                <w:color w:val="FFFFFF"/>
              </w:rPr>
              <w:t>Übung nötig?</w:t>
            </w:r>
          </w:p>
        </w:tc>
      </w:tr>
      <w:tr>
        <w:trPr>
          <w:cantSplit w:val="true"/>
        </w:trPr>
        <w:tc>
          <w:tcPr>
            <w:tcW w:type="dxa" w:w="2494"/>
          </w:tcPr>
          <w:p>
            <w:pPr>
              <w:spacing w:before="60" w:after="60"/>
            </w:pPr>
            <w:r>
              <w:rPr>
                <w:b/>
              </w:rPr>
              <w:t>1. Die Monitoring-App mit dem WLAN im Haus verbinden und dem Kunden auf seinem eigenen Handy die heutige Erzeugung zeigen</w:t>
            </w:r>
          </w:p>
        </w:tc>
        <w:tc>
          <w:tcPr>
            <w:tcW w:type="dxa" w:w="2835"/>
          </w:tcPr>
          <w:p>
            <w:pPr>
              <w:spacing w:before="60" w:after="60"/>
            </w:pPr>
            <w:r>
              <w:t>Umfeld: Der Kunde ist bei Auftragsende oft nicht da, und der Einsatzplan sieht die Übergabe nur „wenn Zeit ist“ vor</w:t>
            </w:r>
          </w:p>
        </w:tc>
        <w:tc>
          <w:tcPr>
            <w:tcW w:type="dxa" w:w="2835"/>
          </w:tcPr>
          <w:p>
            <w:pPr>
              <w:spacing w:before="60" w:after="60"/>
            </w:pPr>
            <w:r>
              <w:t>Einen 20-minütigen Übergabetermin einplanen, wenn der Kunde zu Hause ist, und ihn am Vortag per SMS bitten, die WLAN-Daten bereitzuhalten</w:t>
            </w:r>
          </w:p>
        </w:tc>
        <w:tc>
          <w:tcPr>
            <w:tcW w:type="dxa" w:w="1474"/>
          </w:tcPr>
          <w:p>
            <w:pPr>
              <w:spacing w:before="60" w:after="60"/>
            </w:pPr>
            <w:r>
              <w:t>Nein</w:t>
            </w:r>
          </w:p>
        </w:tc>
      </w:tr>
      <w:tr>
        <w:trPr>
          <w:cantSplit w:val="true"/>
        </w:trPr>
        <w:tc>
          <w:tcPr>
            <w:tcW w:type="dxa" w:w="2494"/>
            <w:shd w:val="clear" w:color="auto" w:fill="F7F0FB"/>
          </w:tcPr>
          <w:p>
            <w:pPr>
              <w:spacing w:before="60" w:after="60"/>
            </w:pPr>
            <w:r>
              <w:rPr>
                <w:b/>
              </w:rPr>
              <w:t>2. Das Abschaltverfahren am Aufkleber zeigen und den Kunden dann der Reihe nach auf jeden Schalter zeigen lassen</w:t>
            </w:r>
          </w:p>
        </w:tc>
        <w:tc>
          <w:tcPr>
            <w:tcW w:type="dxa" w:w="2835"/>
            <w:shd w:val="clear" w:color="auto" w:fill="F7F0FB"/>
          </w:tcPr>
          <w:p>
            <w:pPr>
              <w:spacing w:before="60" w:after="60"/>
            </w:pPr>
            <w:r>
              <w:t>Fähigkeit: Montageleiter kennen die Reihenfolge, spulen sie aber als Monolog ab, und Kunden vergessen sie wieder</w:t>
            </w:r>
          </w:p>
        </w:tc>
        <w:tc>
          <w:tcPr>
            <w:tcW w:type="dxa" w:w="2835"/>
            <w:shd w:val="clear" w:color="auto" w:fill="F7F0FB"/>
          </w:tcPr>
          <w:p>
            <w:pPr>
              <w:spacing w:before="60" w:after="60"/>
            </w:pPr>
            <w:r>
              <w:t>Keine gefunden</w:t>
            </w:r>
          </w:p>
        </w:tc>
        <w:tc>
          <w:tcPr>
            <w:tcW w:type="dxa" w:w="1474"/>
            <w:shd w:val="clear" w:color="auto" w:fill="F7F0FB"/>
          </w:tcPr>
          <w:p>
            <w:pPr>
              <w:spacing w:before="60" w:after="60"/>
            </w:pPr>
            <w:r>
              <w:t>Ja: der Teach-back</w:t>
            </w:r>
          </w:p>
        </w:tc>
      </w:tr>
      <w:tr>
        <w:trPr>
          <w:cantSplit w:val="true"/>
        </w:trPr>
        <w:tc>
          <w:tcPr>
            <w:tcW w:type="dxa" w:w="2494"/>
          </w:tcPr>
          <w:p>
            <w:pPr>
              <w:spacing w:before="60" w:after="60"/>
            </w:pPr>
            <w:r>
              <w:rPr>
                <w:b/>
              </w:rPr>
              <w:t>3. Erklären, was die Anlage bei einem Stromausfall tut und was bei der ersten Rechnung zu erwarten ist, ohne eine Ersparnis in Dollar zu versprechen</w:t>
            </w:r>
          </w:p>
        </w:tc>
        <w:tc>
          <w:tcPr>
            <w:tcW w:type="dxa" w:w="2835"/>
          </w:tcPr>
          <w:p>
            <w:pPr>
              <w:spacing w:before="60" w:after="60"/>
            </w:pPr>
            <w:r>
              <w:t>Wissen und Fähigkeit: Neuere Montageleiter wissen nicht recht, wie sie antworten sollen, ohne zu viel zu versprechen</w:t>
            </w:r>
          </w:p>
        </w:tc>
        <w:tc>
          <w:tcPr>
            <w:tcW w:type="dxa" w:w="2835"/>
          </w:tcPr>
          <w:p>
            <w:pPr>
              <w:spacing w:before="60" w:after="60"/>
            </w:pPr>
            <w:r>
              <w:t>Eine einseitige Übergabekarte mit der Antwort zum Stromausfall und der Regel zur Ersparnis</w:t>
            </w:r>
          </w:p>
        </w:tc>
        <w:tc>
          <w:tcPr>
            <w:tcW w:type="dxa" w:w="1474"/>
          </w:tcPr>
          <w:p>
            <w:pPr>
              <w:spacing w:before="60" w:after="60"/>
            </w:pPr>
            <w:r>
              <w:t>Ja: die beiden Gespräche</w:t>
            </w:r>
          </w:p>
        </w:tc>
      </w:tr>
      <w:tr>
        <w:trPr>
          <w:cantSplit w:val="true"/>
        </w:trPr>
        <w:tc>
          <w:tcPr>
            <w:tcW w:type="dxa" w:w="2494"/>
            <w:shd w:val="clear" w:color="auto" w:fill="F7F0FB"/>
          </w:tcPr>
          <w:p>
            <w:pPr>
              <w:spacing w:before="60" w:after="60"/>
            </w:pPr>
            <w:r>
              <w:rPr>
                <w:b/>
              </w:rPr>
              <w:t>4. Inbetriebnahmeprotokoll und Fotos vor der Abfahrt in der Auftrags-App hochladen</w:t>
            </w:r>
          </w:p>
        </w:tc>
        <w:tc>
          <w:tcPr>
            <w:tcW w:type="dxa" w:w="2835"/>
            <w:shd w:val="clear" w:color="auto" w:fill="F7F0FB"/>
          </w:tcPr>
          <w:p>
            <w:pPr>
              <w:spacing w:before="60" w:after="60"/>
            </w:pPr>
            <w:r>
              <w:t>Motivation und Umfeld: Uploads dauern bei schlechtem Empfang lange, niemand prüft sie, bis das Büro nachhakt, und Montageleiter werden pro Auftrag bezahlt</w:t>
            </w:r>
          </w:p>
        </w:tc>
        <w:tc>
          <w:tcPr>
            <w:tcW w:type="dxa" w:w="2835"/>
            <w:shd w:val="clear" w:color="auto" w:fill="F7F0FB"/>
          </w:tcPr>
          <w:p>
            <w:pPr>
              <w:spacing w:before="60" w:after="60"/>
            </w:pPr>
            <w:r>
              <w:t>Die Auftrags-App lässt den Abschluss erst nach dem Upload zu, mit Offline-Warteschlange; „Übergabe abgeschlossen“ steht im Wochenbericht</w:t>
            </w:r>
          </w:p>
        </w:tc>
        <w:tc>
          <w:tcPr>
            <w:tcW w:type="dxa" w:w="1474"/>
            <w:shd w:val="clear" w:color="auto" w:fill="F7F0FB"/>
          </w:tcPr>
          <w:p>
            <w:pPr>
              <w:spacing w:before="60" w:after="60"/>
            </w:pPr>
            <w:r>
              <w:t>Nein</w:t>
            </w:r>
          </w:p>
        </w:tc>
      </w:tr>
    </w:tbl>
    <w:p>
      <w:pPr>
        <w:spacing w:before="160"/>
      </w:pPr>
      <w:r>
        <w:t>Ergebnis: Zwei der vier Handlungen lassen sich durch eine geänderte Terminplanung und eine App-Einstellung lösen. Nur die Handlungen 2 und 3 gehen weiter in Teil 3.</w:t>
      </w:r>
    </w:p>
    <w:p>
      <w:pPr>
        <w:keepNext/>
        <w:pageBreakBefore/>
        <w:spacing w:before="240" w:after="80"/>
      </w:pPr>
      <w:r>
        <w:rPr>
          <w:b/>
          <w:color w:val="5D008F"/>
          <w:sz w:val="28"/>
        </w:rPr>
        <w:t>Teil 2. Ihre Handlungen</w:t>
      </w:r>
    </w:p>
    <w:p>
      <w:r>
        <w:t>Ziel (aus Teil 1):</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Pr>
                <w:color w:val="FFFFFF"/>
              </w:rPr>
            </w:r>
            <w:r>
              <w:rPr>
                <w:b/>
                <w:color w:val="FFFFFF"/>
              </w:rPr>
              <w:t>Beobachtbare Handlung</w:t>
            </w:r>
          </w:p>
        </w:tc>
        <w:tc>
          <w:tcPr>
            <w:tcW w:type="dxa" w:w="2835"/>
            <w:shd w:val="clear" w:color="auto" w:fill="5D008F"/>
          </w:tcPr>
          <w:p>
            <w:pPr>
              <w:spacing w:before="60" w:after="60"/>
            </w:pPr>
            <w:r>
              <w:rPr>
                <w:color w:val="FFFFFF"/>
              </w:rPr>
            </w:r>
            <w:r>
              <w:rPr>
                <w:b/>
                <w:color w:val="FFFFFF"/>
              </w:rPr>
              <w:t>Warum tun sie es nicht? (Umfeld, Wissen, Fähigkeiten, Motivation)</w:t>
            </w:r>
          </w:p>
        </w:tc>
        <w:tc>
          <w:tcPr>
            <w:tcW w:type="dxa" w:w="2835"/>
            <w:shd w:val="clear" w:color="auto" w:fill="5D008F"/>
          </w:tcPr>
          <w:p>
            <w:pPr>
              <w:spacing w:before="60" w:after="60"/>
            </w:pPr>
            <w:r>
              <w:rPr>
                <w:color w:val="FFFFFF"/>
              </w:rPr>
            </w:r>
            <w:r>
              <w:rPr>
                <w:b/>
                <w:color w:val="FFFFFF"/>
              </w:rPr>
              <w:t>Lösung ohne Schulung</w:t>
            </w:r>
          </w:p>
        </w:tc>
        <w:tc>
          <w:tcPr>
            <w:tcW w:type="dxa" w:w="1474"/>
            <w:shd w:val="clear" w:color="auto" w:fill="5D008F"/>
          </w:tcPr>
          <w:p>
            <w:pPr>
              <w:spacing w:before="60" w:after="60"/>
            </w:pPr>
            <w:r>
              <w:rPr>
                <w:color w:val="FFFFFF"/>
              </w:rPr>
            </w:r>
            <w:r>
              <w:rPr>
                <w:b/>
                <w:color w:val="FFFFFF"/>
              </w:rPr>
              <w:t>Übung nötig?</w:t>
            </w:r>
          </w:p>
        </w:tc>
      </w:tr>
      <w:tr>
        <w:trPr>
          <w:cantSplit w:val="true"/>
          <w:trHeight w:val="1701"/>
        </w:trPr>
        <w:tc>
          <w:tcPr>
            <w:tcW w:type="dxa" w:w="2494"/>
          </w:tcPr>
          <w:p>
            <w:pPr>
              <w:spacing w:before="60" w:after="60"/>
            </w:pPr>
            <w:r>
              <w:rPr>
                <w:b/>
              </w:rPr>
              <w:t>1.</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r>
        <w:trPr>
          <w:cantSplit w:val="true"/>
          <w:trHeight w:val="1701"/>
        </w:trPr>
        <w:tc>
          <w:tcPr>
            <w:tcW w:type="dxa" w:w="2494"/>
            <w:shd w:val="clear" w:color="auto" w:fill="F7F0FB"/>
          </w:tcPr>
          <w:p>
            <w:pPr>
              <w:spacing w:before="60" w:after="60"/>
            </w:pPr>
            <w:r>
              <w:rPr>
                <w:b/>
              </w:rPr>
              <w:t>2.</w:t>
            </w:r>
          </w:p>
        </w:tc>
        <w:tc>
          <w:tcPr>
            <w:tcW w:type="dxa" w:w="2835"/>
            <w:shd w:val="clear" w:color="auto" w:fill="F7F0FB"/>
          </w:tcPr>
          <w:p>
            <w:pPr>
              <w:spacing w:before="60" w:after="60"/>
            </w:pPr>
            <w:r/>
          </w:p>
        </w:tc>
        <w:tc>
          <w:tcPr>
            <w:tcW w:type="dxa" w:w="2835"/>
            <w:shd w:val="clear" w:color="auto" w:fill="F7F0FB"/>
          </w:tcPr>
          <w:p>
            <w:pPr>
              <w:spacing w:before="60" w:after="60"/>
            </w:pPr>
            <w:r/>
          </w:p>
        </w:tc>
        <w:tc>
          <w:tcPr>
            <w:tcW w:type="dxa" w:w="1474"/>
            <w:shd w:val="clear" w:color="auto" w:fill="F7F0FB"/>
          </w:tcPr>
          <w:p>
            <w:pPr>
              <w:spacing w:before="60" w:after="60"/>
            </w:pPr>
            <w:r/>
          </w:p>
        </w:tc>
      </w:tr>
      <w:tr>
        <w:trPr>
          <w:cantSplit w:val="true"/>
          <w:trHeight w:val="1701"/>
        </w:trPr>
        <w:tc>
          <w:tcPr>
            <w:tcW w:type="dxa" w:w="2494"/>
          </w:tcPr>
          <w:p>
            <w:pPr>
              <w:spacing w:before="60" w:after="60"/>
            </w:pPr>
            <w:r>
              <w:rPr>
                <w:b/>
              </w:rPr>
              <w:t>3.</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r>
        <w:trPr>
          <w:cantSplit w:val="true"/>
          <w:trHeight w:val="1701"/>
        </w:trPr>
        <w:tc>
          <w:tcPr>
            <w:tcW w:type="dxa" w:w="2494"/>
            <w:shd w:val="clear" w:color="auto" w:fill="F7F0FB"/>
          </w:tcPr>
          <w:p>
            <w:pPr>
              <w:spacing w:before="60" w:after="60"/>
            </w:pPr>
            <w:r>
              <w:rPr>
                <w:b/>
              </w:rPr>
              <w:t>4.</w:t>
            </w:r>
          </w:p>
        </w:tc>
        <w:tc>
          <w:tcPr>
            <w:tcW w:type="dxa" w:w="2835"/>
            <w:shd w:val="clear" w:color="auto" w:fill="F7F0FB"/>
          </w:tcPr>
          <w:p>
            <w:pPr>
              <w:spacing w:before="60" w:after="60"/>
            </w:pPr>
            <w:r/>
          </w:p>
        </w:tc>
        <w:tc>
          <w:tcPr>
            <w:tcW w:type="dxa" w:w="2835"/>
            <w:shd w:val="clear" w:color="auto" w:fill="F7F0FB"/>
          </w:tcPr>
          <w:p>
            <w:pPr>
              <w:spacing w:before="60" w:after="60"/>
            </w:pPr>
            <w:r/>
          </w:p>
        </w:tc>
        <w:tc>
          <w:tcPr>
            <w:tcW w:type="dxa" w:w="1474"/>
            <w:shd w:val="clear" w:color="auto" w:fill="F7F0FB"/>
          </w:tcPr>
          <w:p>
            <w:pPr>
              <w:spacing w:before="60" w:after="60"/>
            </w:pPr>
            <w:r/>
          </w:p>
        </w:tc>
      </w:tr>
      <w:tr>
        <w:trPr>
          <w:cantSplit w:val="true"/>
          <w:trHeight w:val="1701"/>
        </w:trPr>
        <w:tc>
          <w:tcPr>
            <w:tcW w:type="dxa" w:w="2494"/>
          </w:tcPr>
          <w:p>
            <w:pPr>
              <w:spacing w:before="60" w:after="60"/>
            </w:pPr>
            <w:r>
              <w:rPr>
                <w:b/>
              </w:rPr>
              <w:t>5.</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bl>
    <w:p>
      <w:pPr>
        <w:keepNext/>
        <w:pageBreakBefore/>
        <w:spacing w:before="240" w:after="80"/>
      </w:pPr>
      <w:r>
        <w:rPr>
          <w:b/>
          <w:color w:val="5D008F"/>
          <w:sz w:val="28"/>
        </w:rPr>
        <w:t>Teil 3. Übung und Mindestinformationen (Beispiel)</w:t>
      </w:r>
    </w:p>
    <w:p>
      <w:r>
        <w:t>Nur für Handlungen mit Übungsbedarf. Jede Aktivität versetzt die Lernenden in die Rolle und in eine realistische Situation und zeigt die Folge jeder Entscheidung, bevor etwas erklärt wird. Führen Sie danach nur die Informationen auf, die die Aktivität braucht.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928"/>
            <w:shd w:val="clear" w:color="auto" w:fill="5D008F"/>
          </w:tcPr>
          <w:p>
            <w:pPr>
              <w:spacing w:before="60" w:after="60"/>
            </w:pPr>
            <w:r>
              <w:rPr>
                <w:color w:val="FFFFFF"/>
              </w:rPr>
            </w:r>
            <w:r>
              <w:rPr>
                <w:b/>
                <w:color w:val="FFFFFF"/>
              </w:rPr>
              <w:t>Handlung</w:t>
            </w:r>
          </w:p>
        </w:tc>
        <w:tc>
          <w:tcPr>
            <w:tcW w:type="dxa" w:w="3628"/>
            <w:shd w:val="clear" w:color="auto" w:fill="5D008F"/>
          </w:tcPr>
          <w:p>
            <w:pPr>
              <w:spacing w:before="60" w:after="60"/>
            </w:pPr>
            <w:r>
              <w:rPr>
                <w:color w:val="FFFFFF"/>
              </w:rPr>
            </w:r>
            <w:r>
              <w:rPr>
                <w:b/>
                <w:color w:val="FFFFFF"/>
              </w:rPr>
              <w:t>Übungsaktivität</w:t>
            </w:r>
          </w:p>
        </w:tc>
        <w:tc>
          <w:tcPr>
            <w:tcW w:type="dxa" w:w="2608"/>
            <w:shd w:val="clear" w:color="auto" w:fill="5D008F"/>
          </w:tcPr>
          <w:p>
            <w:pPr>
              <w:spacing w:before="60" w:after="60"/>
            </w:pPr>
            <w:r>
              <w:rPr>
                <w:color w:val="FFFFFF"/>
              </w:rPr>
            </w:r>
            <w:r>
              <w:rPr>
                <w:b/>
                <w:color w:val="FFFFFF"/>
              </w:rPr>
              <w:t>Informationen, die die Übung braucht</w:t>
            </w:r>
          </w:p>
        </w:tc>
        <w:tc>
          <w:tcPr>
            <w:tcW w:type="dxa" w:w="1474"/>
            <w:shd w:val="clear" w:color="auto" w:fill="5D008F"/>
          </w:tcPr>
          <w:p>
            <w:pPr>
              <w:spacing w:before="60" w:after="60"/>
            </w:pPr>
            <w:r>
              <w:rPr>
                <w:color w:val="FFFFFF"/>
              </w:rPr>
            </w:r>
            <w:r>
              <w:rPr>
                <w:b/>
                <w:color w:val="FFFFFF"/>
              </w:rPr>
              <w:t>Gedächtnis oder Arbeitshilfe?</w:t>
            </w:r>
          </w:p>
        </w:tc>
      </w:tr>
      <w:tr>
        <w:trPr>
          <w:cantSplit w:val="true"/>
        </w:trPr>
        <w:tc>
          <w:tcPr>
            <w:tcW w:type="dxa" w:w="1928"/>
          </w:tcPr>
          <w:p>
            <w:pPr>
              <w:spacing w:before="60" w:after="60"/>
            </w:pPr>
            <w:r>
              <w:rPr>
                <w:b/>
              </w:rPr>
              <w:t>2. Teach-back zum Abschalten</w:t>
            </w:r>
          </w:p>
        </w:tc>
        <w:tc>
          <w:tcPr>
            <w:tcW w:type="dxa" w:w="3628"/>
          </w:tcPr>
          <w:p>
            <w:pPr>
              <w:spacing w:before="60" w:after="60"/>
            </w:pPr>
            <w:r>
              <w:t>Lernende bringen die Schritte auf einem Foto des Abschaltaufklebers in die richtige Reihenfolge und entscheiden dann, wie sie prüfen, ob der Kunde alles verstanden hat: „Noch Fragen?“ fragen, den Kunden der Reihe nach auf jeden Schalter zeigen lassen oder die Karte am Zählerschrank hinterlassen. Nur das Zeigen auf jeden Schalter deckt auf, dass der Kunde zwei Schalter verwechselt.</w:t>
            </w:r>
          </w:p>
        </w:tc>
        <w:tc>
          <w:tcPr>
            <w:tcW w:type="dxa" w:w="2608"/>
          </w:tcPr>
          <w:p>
            <w:pPr>
              <w:spacing w:before="60" w:after="60"/>
            </w:pPr>
            <w:r>
              <w:t>Der Abschaltaufkleber vor Ort; das Verfahren des Herstellers</w:t>
            </w:r>
          </w:p>
        </w:tc>
        <w:tc>
          <w:tcPr>
            <w:tcW w:type="dxa" w:w="1474"/>
          </w:tcPr>
          <w:p>
            <w:pPr>
              <w:spacing w:before="60" w:after="60"/>
            </w:pPr>
            <w:r>
              <w:t>Arbeitshilfe: der Aufkleber vor Ort</w:t>
            </w:r>
          </w:p>
        </w:tc>
      </w:tr>
      <w:tr>
        <w:trPr>
          <w:cantSplit w:val="true"/>
        </w:trPr>
        <w:tc>
          <w:tcPr>
            <w:tcW w:type="dxa" w:w="1928"/>
            <w:shd w:val="clear" w:color="auto" w:fill="F7F0FB"/>
          </w:tcPr>
          <w:p>
            <w:pPr>
              <w:spacing w:before="60" w:after="60"/>
            </w:pPr>
            <w:r>
              <w:rPr>
                <w:b/>
              </w:rPr>
              <w:t>3. Gespräch zum Stromausfall</w:t>
            </w:r>
          </w:p>
        </w:tc>
        <w:tc>
          <w:tcPr>
            <w:tcW w:type="dxa" w:w="3628"/>
            <w:shd w:val="clear" w:color="auto" w:fill="F7F0FB"/>
          </w:tcPr>
          <w:p>
            <w:pPr>
              <w:spacing w:before="60" w:after="60"/>
            </w:pPr>
            <w:r>
              <w:t>Ein älterer Hausbesitzer fragt: „Wenn der Strom ausfällt, bin ich also trotzdem versorgt, oder?“ Die Anlage hat keinen Batteriespeicher. Lernende entscheiden, was sie sagen; jede Antwort zeigt, was als Nächstes passiert, danach folgt der Hinweis eines erfahrenen Montageleiters.</w:t>
            </w:r>
          </w:p>
        </w:tc>
        <w:tc>
          <w:tcPr>
            <w:tcW w:type="dxa" w:w="2608"/>
            <w:shd w:val="clear" w:color="auto" w:fill="F7F0FB"/>
          </w:tcPr>
          <w:p>
            <w:pPr>
              <w:spacing w:before="60" w:after="60"/>
            </w:pPr>
            <w:r>
              <w:t>Eine Anlage ohne Batteriespeicher schaltet sich bei einem Stromausfall aus Sicherheitsgründen ab; mit Notstromfunktion des Batteriespeichers können ausgewählte Stromkreise weiterlaufen</w:t>
            </w:r>
          </w:p>
        </w:tc>
        <w:tc>
          <w:tcPr>
            <w:tcW w:type="dxa" w:w="1474"/>
            <w:shd w:val="clear" w:color="auto" w:fill="F7F0FB"/>
          </w:tcPr>
          <w:p>
            <w:pPr>
              <w:spacing w:before="60" w:after="60"/>
            </w:pPr>
            <w:r>
              <w:t>Gedächtnis für die Antwort; die Übergabekarte für den Kunden</w:t>
            </w:r>
          </w:p>
        </w:tc>
      </w:tr>
      <w:tr>
        <w:trPr>
          <w:cantSplit w:val="true"/>
        </w:trPr>
        <w:tc>
          <w:tcPr>
            <w:tcW w:type="dxa" w:w="1928"/>
          </w:tcPr>
          <w:p>
            <w:pPr>
              <w:spacing w:before="60" w:after="60"/>
            </w:pPr>
            <w:r>
              <w:rPr>
                <w:b/>
              </w:rPr>
              <w:t>3. Gespräch zur Ersparnis</w:t>
            </w:r>
          </w:p>
        </w:tc>
        <w:tc>
          <w:tcPr>
            <w:tcW w:type="dxa" w:w="3628"/>
          </w:tcPr>
          <w:p>
            <w:pPr>
              <w:spacing w:before="60" w:after="60"/>
            </w:pPr>
            <w:r>
              <w:t>Der Kunde fragt: „Wie viel spare ich dadurch bei der Rechnung?“ Lernende wählen: die Zahl aus dem Angebot als Versprechen nennen; erklären, was auf der Rechnung stehen wird, und bei Fragen zur Ersparnis auf das Angebot und den Vertriebsberater verweisen; oder einen Betrag schätzen.</w:t>
            </w:r>
          </w:p>
        </w:tc>
        <w:tc>
          <w:tcPr>
            <w:tcW w:type="dxa" w:w="2608"/>
          </w:tcPr>
          <w:p>
            <w:pPr>
              <w:spacing w:before="60" w:after="60"/>
            </w:pPr>
            <w:r>
              <w:t>Firmenregel: nie eine Ersparnis in Dollar nennen; bei Fragen zur Ersparnis auf das Verkaufsangebot und den Vertriebsberater verweisen</w:t>
            </w:r>
          </w:p>
        </w:tc>
        <w:tc>
          <w:tcPr>
            <w:tcW w:type="dxa" w:w="1474"/>
          </w:tcPr>
          <w:p>
            <w:pPr>
              <w:spacing w:before="60" w:after="60"/>
            </w:pPr>
            <w:r>
              <w:t>Gedächtnis für die Regel; die Übergabekarte</w:t>
            </w:r>
          </w:p>
        </w:tc>
      </w:tr>
    </w:tbl>
    <w:p>
      <w:pPr>
        <w:spacing w:before="160"/>
      </w:pPr>
      <w:r>
        <w:t>Nicht im Kurs: wie Solaranlagen funktionieren, Wechselrichtertypen, Batteriegrundlagen oder Kundenservice-Theorie. Keine Übungsaktivität braucht sie.</w:t>
      </w:r>
    </w:p>
    <w:p>
      <w:pPr>
        <w:keepNext/>
        <w:pageBreakBefore/>
        <w:spacing w:before="240" w:after="80"/>
      </w:pPr>
      <w:r>
        <w:rPr>
          <w:b/>
          <w:color w:val="5D008F"/>
          <w:sz w:val="28"/>
        </w:rPr>
        <w:t>Teil 3. Ihre Übungen und Informationen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928"/>
            <w:shd w:val="clear" w:color="auto" w:fill="5D008F"/>
          </w:tcPr>
          <w:p>
            <w:pPr>
              <w:spacing w:before="60" w:after="60"/>
            </w:pPr>
            <w:r>
              <w:rPr>
                <w:color w:val="FFFFFF"/>
              </w:rPr>
            </w:r>
            <w:r>
              <w:rPr>
                <w:b/>
                <w:color w:val="FFFFFF"/>
              </w:rPr>
              <w:t>Handlung</w:t>
            </w:r>
          </w:p>
        </w:tc>
        <w:tc>
          <w:tcPr>
            <w:tcW w:type="dxa" w:w="3628"/>
            <w:shd w:val="clear" w:color="auto" w:fill="5D008F"/>
          </w:tcPr>
          <w:p>
            <w:pPr>
              <w:spacing w:before="60" w:after="60"/>
            </w:pPr>
            <w:r>
              <w:rPr>
                <w:color w:val="FFFFFF"/>
              </w:rPr>
            </w:r>
            <w:r>
              <w:rPr>
                <w:b/>
                <w:color w:val="FFFFFF"/>
              </w:rPr>
              <w:t>Übungsaktivität: Situation, Entscheidung, Folgen</w:t>
            </w:r>
          </w:p>
        </w:tc>
        <w:tc>
          <w:tcPr>
            <w:tcW w:type="dxa" w:w="2608"/>
            <w:shd w:val="clear" w:color="auto" w:fill="5D008F"/>
          </w:tcPr>
          <w:p>
            <w:pPr>
              <w:spacing w:before="60" w:after="60"/>
            </w:pPr>
            <w:r>
              <w:rPr>
                <w:color w:val="FFFFFF"/>
              </w:rPr>
            </w:r>
            <w:r>
              <w:rPr>
                <w:b/>
                <w:color w:val="FFFFFF"/>
              </w:rPr>
              <w:t>Informationen, die die Übung braucht</w:t>
            </w:r>
          </w:p>
        </w:tc>
        <w:tc>
          <w:tcPr>
            <w:tcW w:type="dxa" w:w="1474"/>
            <w:shd w:val="clear" w:color="auto" w:fill="5D008F"/>
          </w:tcPr>
          <w:p>
            <w:pPr>
              <w:spacing w:before="60" w:after="60"/>
            </w:pPr>
            <w:r>
              <w:rPr>
                <w:color w:val="FFFFFF"/>
              </w:rPr>
            </w:r>
            <w:r>
              <w:rPr>
                <w:b/>
                <w:color w:val="FFFFFF"/>
              </w:rPr>
              <w:t>Gedächtnis oder Arbeitshilfe?</w:t>
            </w:r>
          </w:p>
        </w:tc>
      </w:tr>
      <w:tr>
        <w:trPr>
          <w:cantSplit w:val="true"/>
          <w:trHeight w:val="2041"/>
        </w:trPr>
        <w:tc>
          <w:tcPr>
            <w:tcW w:type="dxa" w:w="1928"/>
          </w:tcPr>
          <w:p>
            <w:pPr>
              <w:spacing w:before="60" w:after="60"/>
            </w:pPr>
            <w:r>
              <w:rPr>
                <w:b/>
              </w:rPr>
            </w:r>
          </w:p>
        </w:tc>
        <w:tc>
          <w:tcPr>
            <w:tcW w:type="dxa" w:w="3628"/>
          </w:tcPr>
          <w:p>
            <w:pPr>
              <w:spacing w:before="60" w:after="60"/>
            </w:pPr>
            <w:r/>
          </w:p>
        </w:tc>
        <w:tc>
          <w:tcPr>
            <w:tcW w:type="dxa" w:w="2608"/>
          </w:tcPr>
          <w:p>
            <w:pPr>
              <w:spacing w:before="60" w:after="60"/>
            </w:pPr>
            <w:r/>
          </w:p>
        </w:tc>
        <w:tc>
          <w:tcPr>
            <w:tcW w:type="dxa" w:w="1474"/>
          </w:tcPr>
          <w:p>
            <w:pPr>
              <w:spacing w:before="60" w:after="60"/>
            </w:pPr>
            <w:r/>
          </w:p>
        </w:tc>
      </w:tr>
      <w:tr>
        <w:trPr>
          <w:cantSplit w:val="true"/>
          <w:trHeight w:val="2041"/>
        </w:trPr>
        <w:tc>
          <w:tcPr>
            <w:tcW w:type="dxa" w:w="1928"/>
            <w:shd w:val="clear" w:color="auto" w:fill="F7F0FB"/>
          </w:tcPr>
          <w:p>
            <w:pPr>
              <w:spacing w:before="60" w:after="60"/>
            </w:pPr>
            <w:r>
              <w:rPr>
                <w:b/>
              </w:rPr>
            </w:r>
          </w:p>
        </w:tc>
        <w:tc>
          <w:tcPr>
            <w:tcW w:type="dxa" w:w="3628"/>
            <w:shd w:val="clear" w:color="auto" w:fill="F7F0FB"/>
          </w:tcPr>
          <w:p>
            <w:pPr>
              <w:spacing w:before="60" w:after="60"/>
            </w:pPr>
            <w:r/>
          </w:p>
        </w:tc>
        <w:tc>
          <w:tcPr>
            <w:tcW w:type="dxa" w:w="2608"/>
            <w:shd w:val="clear" w:color="auto" w:fill="F7F0FB"/>
          </w:tcPr>
          <w:p>
            <w:pPr>
              <w:spacing w:before="60" w:after="60"/>
            </w:pPr>
            <w:r/>
          </w:p>
        </w:tc>
        <w:tc>
          <w:tcPr>
            <w:tcW w:type="dxa" w:w="1474"/>
            <w:shd w:val="clear" w:color="auto" w:fill="F7F0FB"/>
          </w:tcPr>
          <w:p>
            <w:pPr>
              <w:spacing w:before="60" w:after="60"/>
            </w:pPr>
            <w:r/>
          </w:p>
        </w:tc>
      </w:tr>
      <w:tr>
        <w:trPr>
          <w:cantSplit w:val="true"/>
          <w:trHeight w:val="2041"/>
        </w:trPr>
        <w:tc>
          <w:tcPr>
            <w:tcW w:type="dxa" w:w="1928"/>
          </w:tcPr>
          <w:p>
            <w:pPr>
              <w:spacing w:before="60" w:after="60"/>
            </w:pPr>
            <w:r>
              <w:rPr>
                <w:b/>
              </w:rPr>
            </w:r>
          </w:p>
        </w:tc>
        <w:tc>
          <w:tcPr>
            <w:tcW w:type="dxa" w:w="3628"/>
          </w:tcPr>
          <w:p>
            <w:pPr>
              <w:spacing w:before="60" w:after="60"/>
            </w:pPr>
            <w:r/>
          </w:p>
        </w:tc>
        <w:tc>
          <w:tcPr>
            <w:tcW w:type="dxa" w:w="2608"/>
          </w:tcPr>
          <w:p>
            <w:pPr>
              <w:spacing w:before="60" w:after="60"/>
            </w:pPr>
            <w:r/>
          </w:p>
        </w:tc>
        <w:tc>
          <w:tcPr>
            <w:tcW w:type="dxa" w:w="1474"/>
          </w:tcPr>
          <w:p>
            <w:pPr>
              <w:spacing w:before="60" w:after="60"/>
            </w:pPr>
            <w:r/>
          </w:p>
        </w:tc>
      </w:tr>
      <w:tr>
        <w:trPr>
          <w:cantSplit w:val="true"/>
          <w:trHeight w:val="2041"/>
        </w:trPr>
        <w:tc>
          <w:tcPr>
            <w:tcW w:type="dxa" w:w="1928"/>
            <w:shd w:val="clear" w:color="auto" w:fill="F7F0FB"/>
          </w:tcPr>
          <w:p>
            <w:pPr>
              <w:spacing w:before="60" w:after="60"/>
            </w:pPr>
            <w:r>
              <w:rPr>
                <w:b/>
              </w:rPr>
            </w:r>
          </w:p>
        </w:tc>
        <w:tc>
          <w:tcPr>
            <w:tcW w:type="dxa" w:w="3628"/>
            <w:shd w:val="clear" w:color="auto" w:fill="F7F0FB"/>
          </w:tcPr>
          <w:p>
            <w:pPr>
              <w:spacing w:before="60" w:after="60"/>
            </w:pPr>
            <w:r/>
          </w:p>
        </w:tc>
        <w:tc>
          <w:tcPr>
            <w:tcW w:type="dxa" w:w="2608"/>
            <w:shd w:val="clear" w:color="auto" w:fill="F7F0FB"/>
          </w:tcPr>
          <w:p>
            <w:pPr>
              <w:spacing w:before="60" w:after="60"/>
            </w:pPr>
            <w:r/>
          </w:p>
        </w:tc>
        <w:tc>
          <w:tcPr>
            <w:tcW w:type="dxa" w:w="1474"/>
            <w:shd w:val="clear" w:color="auto" w:fill="F7F0FB"/>
          </w:tcPr>
          <w:p>
            <w:pPr>
              <w:spacing w:before="60" w:after="60"/>
            </w:pPr>
            <w:r/>
          </w:p>
        </w:tc>
      </w:tr>
    </w:tbl>
    <w:p>
      <w:pPr>
        <w:keepNext/>
        <w:pageBreakBefore/>
        <w:spacing w:before="240" w:after="80"/>
      </w:pPr>
      <w:r>
        <w:rPr>
          <w:b/>
          <w:color w:val="5D008F"/>
          <w:sz w:val="28"/>
        </w:rPr>
        <w:t>Teil 4. So überprüfen Sie das Ziel</w:t>
      </w:r>
    </w:p>
    <w:p>
      <w:r>
        <w:t>Schreiben Sie dies auf, bevor die Designarbeit beginnt. Moore empfiehlt Robert Brinkerhoffs Success Case Method, um herauszufinden, was funktioniert und was nicht, sobald alle Lösungen umgesetzt sind. Abschlussquoten und Bewertungen zeigen, dass Mitarbeitende teilgenommen haben, nicht, dass das Ziel näher gerückt ist.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Pr>
                <w:color w:val="FFFFFF"/>
              </w:rPr>
            </w:r>
            <w:r>
              <w:rPr>
                <w:b/>
                <w:color w:val="FFFFFF"/>
              </w:rPr>
              <w:t>Frage</w:t>
            </w:r>
          </w:p>
        </w:tc>
        <w:tc>
          <w:tcPr>
            <w:tcW w:type="dxa" w:w="3855"/>
            <w:shd w:val="clear" w:color="auto" w:fill="5D008F"/>
          </w:tcPr>
          <w:p>
            <w:pPr>
              <w:spacing w:before="60" w:after="60"/>
            </w:pPr>
            <w:r>
              <w:rPr>
                <w:color w:val="FFFFFF"/>
              </w:rPr>
            </w:r>
            <w:r>
              <w:rPr>
                <w:b/>
                <w:color w:val="FFFFFF"/>
              </w:rPr>
              <w:t>Solar-Übergabe (Beispiel)</w:t>
            </w:r>
          </w:p>
        </w:tc>
        <w:tc>
          <w:tcPr>
            <w:tcW w:type="dxa" w:w="3175"/>
            <w:shd w:val="clear" w:color="auto" w:fill="5D008F"/>
          </w:tcPr>
          <w:p>
            <w:pPr>
              <w:spacing w:before="60" w:after="60"/>
            </w:pPr>
            <w:r>
              <w:rPr>
                <w:color w:val="FFFFFF"/>
              </w:rPr>
            </w:r>
            <w:r>
              <w:rPr>
                <w:b/>
                <w:color w:val="FFFFFF"/>
              </w:rPr>
              <w:t>Ihr Projekt</w:t>
            </w:r>
          </w:p>
        </w:tc>
      </w:tr>
      <w:tr>
        <w:trPr>
          <w:cantSplit w:val="true"/>
          <w:trHeight w:val="907"/>
        </w:trPr>
        <w:tc>
          <w:tcPr>
            <w:tcW w:type="dxa" w:w="2608"/>
          </w:tcPr>
          <w:p>
            <w:pPr>
              <w:spacing w:before="60" w:after="60"/>
            </w:pPr>
            <w:r>
              <w:rPr>
                <w:b/>
              </w:rPr>
              <w:t>Was prüfen Sie im Arbeitsalltag, und wie?</w:t>
            </w:r>
          </w:p>
        </w:tc>
        <w:tc>
          <w:tcPr>
            <w:tcW w:type="dxa" w:w="3855"/>
          </w:tcPr>
          <w:p>
            <w:pPr>
              <w:spacing w:before="60" w:after="60"/>
            </w:pPr>
            <w:r>
              <w:t>Die Betriebsleitung beobachtet die nächsten fünf Übergaben jedes Montageleiters oder prüft sie in der Auftrags-App anhand der vier Handlungen.</w:t>
            </w:r>
          </w:p>
        </w:tc>
        <w:tc>
          <w:tcPr>
            <w:tcW w:type="dxa" w:w="3175"/>
          </w:tcPr>
          <w:p>
            <w:pPr>
              <w:spacing w:before="60" w:after="60"/>
            </w:pPr>
            <w:r/>
          </w:p>
        </w:tc>
      </w:tr>
      <w:tr>
        <w:trPr>
          <w:cantSplit w:val="true"/>
          <w:trHeight w:val="907"/>
        </w:trPr>
        <w:tc>
          <w:tcPr>
            <w:tcW w:type="dxa" w:w="2608"/>
            <w:shd w:val="clear" w:color="auto" w:fill="F7F0FB"/>
          </w:tcPr>
          <w:p>
            <w:pPr>
              <w:spacing w:before="60" w:after="60"/>
            </w:pPr>
            <w:r>
              <w:rPr>
                <w:b/>
              </w:rPr>
              <w:t>Welche Geschäftskennzahl berichten Sie, und wann?</w:t>
            </w:r>
          </w:p>
        </w:tc>
        <w:tc>
          <w:tcPr>
            <w:tcW w:type="dxa" w:w="3855"/>
            <w:shd w:val="clear" w:color="auto" w:fill="F7F0FB"/>
          </w:tcPr>
          <w:p>
            <w:pPr>
              <w:spacing w:before="60" w:after="60"/>
            </w:pPr>
            <w:r>
              <w:t>Die Quote der Support-Anrufe innerhalb von 30 Tagen je Montageleiter, monatlich, bis zum 30. Juni.</w:t>
            </w:r>
          </w:p>
        </w:tc>
        <w:tc>
          <w:tcPr>
            <w:tcW w:type="dxa" w:w="3175"/>
            <w:shd w:val="clear" w:color="auto" w:fill="F7F0FB"/>
          </w:tcPr>
          <w:p>
            <w:pPr>
              <w:spacing w:before="60" w:after="60"/>
            </w:pPr>
            <w:r/>
          </w:p>
        </w:tc>
      </w:tr>
      <w:tr>
        <w:trPr>
          <w:cantSplit w:val="true"/>
          <w:trHeight w:val="907"/>
        </w:trPr>
        <w:tc>
          <w:tcPr>
            <w:tcW w:type="dxa" w:w="2608"/>
          </w:tcPr>
          <w:p>
            <w:pPr>
              <w:spacing w:before="60" w:after="60"/>
            </w:pPr>
            <w:r>
              <w:rPr>
                <w:b/>
              </w:rPr>
              <w:t>Wie erkennen Sie, ob die einzelnen Lösungen ohne Schulung gewirkt haben?</w:t>
            </w:r>
          </w:p>
        </w:tc>
        <w:tc>
          <w:tcPr>
            <w:tcW w:type="dxa" w:w="3855"/>
          </w:tcPr>
          <w:p>
            <w:pPr>
              <w:spacing w:before="60" w:after="60"/>
            </w:pPr>
            <w:r>
              <w:t>Die Anrufgründe „Meine App zeigt nichts an“ und „Ich habe meine Unterlagen nicht bekommen“ beobachten, sobald die Terminbuchung und die App-Sperre aktiv sind.</w:t>
            </w:r>
          </w:p>
        </w:tc>
        <w:tc>
          <w:tcPr>
            <w:tcW w:type="dxa" w:w="3175"/>
          </w:tcPr>
          <w:p>
            <w:pPr>
              <w:spacing w:before="60" w:after="60"/>
            </w:pPr>
            <w:r/>
          </w:p>
        </w:tc>
      </w:tr>
      <w:tr>
        <w:trPr>
          <w:cantSplit w:val="true"/>
          <w:trHeight w:val="907"/>
        </w:trPr>
        <w:tc>
          <w:tcPr>
            <w:tcW w:type="dxa" w:w="2608"/>
            <w:shd w:val="clear" w:color="auto" w:fill="F7F0FB"/>
          </w:tcPr>
          <w:p>
            <w:pPr>
              <w:spacing w:before="60" w:after="60"/>
            </w:pPr>
            <w:r>
              <w:rPr>
                <w:b/>
              </w:rPr>
              <w:t>Mit wem sprechen Sie, wenn sich die Kennzahl nicht bewegt?</w:t>
            </w:r>
          </w:p>
        </w:tc>
        <w:tc>
          <w:tcPr>
            <w:tcW w:type="dxa" w:w="3855"/>
            <w:shd w:val="clear" w:color="auto" w:fill="F7F0FB"/>
          </w:tcPr>
          <w:p>
            <w:pPr>
              <w:spacing w:before="60" w:after="60"/>
            </w:pPr>
            <w:r>
              <w:t>Mit zwei Montageleitern, deren Anrufquote gesunken ist, und zwei, bei denen das nicht der Fall ist, um herauszufinden, was anders ist.</w:t>
            </w:r>
          </w:p>
        </w:tc>
        <w:tc>
          <w:tcPr>
            <w:tcW w:type="dxa" w:w="3175"/>
            <w:shd w:val="clear" w:color="auto" w:fill="F7F0FB"/>
          </w:tcPr>
          <w:p>
            <w:pPr>
              <w:spacing w:before="60" w:after="60"/>
            </w:pPr>
            <w:r/>
          </w:p>
        </w:tc>
      </w:tr>
    </w:tbl>
    <w:p>
      <w:pPr>
        <w:spacing w:before="160"/>
      </w:pPr>
      <w:r>
        <w:rPr>
          <w:i/>
          <w:color w:val="5A5766"/>
        </w:rPr>
        <w:t>Auf Grundlage von Moore, C. Action mapping: A visual approach to training design; Action mapping on one page; Action mapping workflow at a glance; und Map It: The hands-on guide to strategic training design (Montesa Press, 2017). Fragen, Layout und Beispiel sind eine eigene Adaption von Coursebox. Dieser Planer vergibt keine Bewertung und belegt nicht, dass ein Kurs oder eine Lösung wirkt.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kostenlose Vorlage  |  Seite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