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Checklist dei nove eventi per l'e-learning</w:t>
      </w:r>
    </w:p>
    <w:p>
      <w:r>
        <w:rPr>
          <w:color w:val="5A5766"/>
          <w:sz w:val="22"/>
        </w:rPr>
        <w:t>Verifica un corso o un modulo in autoapprendimento rispetto ai nove eventi di Gagné prima di pubblicarlo.</w:t>
      </w:r>
    </w:p>
    <w:p>
      <w:r>
        <w:rPr>
          <w:i/>
          <w:color w:val="5A5766"/>
          <w:sz w:val="18"/>
        </w:rPr>
        <w:t>Dal blog di Coursebox: coursebox.ai/blog/gagne-instructional-design-model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Checklist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215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Evento</w:t>
            </w:r>
          </w:p>
        </w:tc>
        <w:tc>
          <w:tcPr>
            <w:tcW w:type="dxa" w:w="544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Che cosa controllare in un corso online</w:t>
            </w:r>
          </w:p>
        </w:tc>
        <w:tc>
          <w:tcPr>
            <w:tcW w:type="dxa" w:w="204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Sì / no / da correggere</w:t>
            </w:r>
          </w:p>
        </w:tc>
      </w:tr>
      <w:tr>
        <w:trPr>
          <w:cantSplit w:val="true"/>
          <w:trHeight w:val="680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1. Catturare l'attenzione</w:t>
            </w:r>
          </w:p>
        </w:tc>
        <w:tc>
          <w:tcPr>
            <w:tcW w:type="dxa" w:w="5443"/>
          </w:tcPr>
          <w:p>
            <w:pPr>
              <w:spacing w:before="60" w:after="60"/>
            </w:pPr>
            <w:r>
              <w:t>Si apre con un problema realistico, un caso o una domanda, non con una pagina di benvenuto e un logo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2. Comunicare l'obiettivo</w:t>
            </w:r>
          </w:p>
        </w:tc>
        <w:tc>
          <w:tcPr>
            <w:tcW w:type="dxa" w:w="5443"/>
            <w:shd w:val="clear" w:color="auto" w:fill="F7F0FB"/>
          </w:tcPr>
          <w:p>
            <w:pPr>
              <w:spacing w:before="60" w:after="60"/>
            </w:pPr>
            <w:r>
              <w:t>Dichiara in parole semplici che cosa saranno in grado di fare i corsisti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3. Stimolare il richiamo delle conoscenze pregresse</w:t>
            </w:r>
          </w:p>
        </w:tc>
        <w:tc>
          <w:tcPr>
            <w:tcW w:type="dxa" w:w="5443"/>
          </w:tcPr>
          <w:p>
            <w:pPr>
              <w:spacing w:before="60" w:after="60"/>
            </w:pPr>
            <w:r>
              <w:t>Chiede ai corsisti di richiamare ciò che già sanno prima dei nuovi contenuti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4. Presentare i contenuti</w:t>
            </w:r>
          </w:p>
        </w:tc>
        <w:tc>
          <w:tcPr>
            <w:tcW w:type="dxa" w:w="5443"/>
            <w:shd w:val="clear" w:color="auto" w:fill="F7F0FB"/>
          </w:tcPr>
          <w:p>
            <w:pPr>
              <w:spacing w:before="60" w:after="60"/>
            </w:pPr>
            <w:r>
              <w:t>I contenuti sono suddivisi in blocchi e coerenti con l'obiettivo; niente di superfluo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5. Offrire una guida all'apprendimento</w:t>
            </w:r>
          </w:p>
        </w:tc>
        <w:tc>
          <w:tcPr>
            <w:tcW w:type="dxa" w:w="5443"/>
          </w:tcPr>
          <w:p>
            <w:pPr>
              <w:spacing w:before="60" w:after="60"/>
            </w:pPr>
            <w:r>
              <w:t>Sono disponibili esempi svolti, supporti operativi, suggerimenti o analogie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6. Far mettere in pratica</w:t>
            </w:r>
          </w:p>
        </w:tc>
        <w:tc>
          <w:tcPr>
            <w:tcW w:type="dxa" w:w="5443"/>
            <w:shd w:val="clear" w:color="auto" w:fill="F7F0FB"/>
          </w:tcPr>
          <w:p>
            <w:pPr>
              <w:spacing w:before="60" w:after="60"/>
            </w:pPr>
            <w:r>
              <w:t>I corsisti si esercitano sul compito, non si limitano a leggerne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7. Dare feedback</w:t>
            </w:r>
          </w:p>
        </w:tc>
        <w:tc>
          <w:tcPr>
            <w:tcW w:type="dxa" w:w="5443"/>
          </w:tcPr>
          <w:p>
            <w:pPr>
              <w:spacing w:before="60" w:after="60"/>
            </w:pPr>
            <w:r>
              <w:t>Il feedback sulla pratica spiega la prestazione e aiuta a correggersi; può arrivare dopo una valutazione, quando è opportuno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8. Valutare la prestazione</w:t>
            </w:r>
          </w:p>
        </w:tc>
        <w:tc>
          <w:tcPr>
            <w:tcW w:type="dxa" w:w="5443"/>
            <w:shd w:val="clear" w:color="auto" w:fill="F7F0FB"/>
          </w:tcPr>
          <w:p>
            <w:pPr>
              <w:spacing w:before="60" w:after="60"/>
            </w:pPr>
            <w:r>
              <w:t>Una verifica finale mette alla prova l'obiettivo, con uno standard di superamento chiaro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9. Favorire memorizzazione e trasferimento</w:t>
            </w:r>
          </w:p>
        </w:tc>
        <w:tc>
          <w:tcPr>
            <w:tcW w:type="dxa" w:w="5443"/>
          </w:tcPr>
          <w:p>
            <w:pPr>
              <w:spacing w:before="60" w:after="60"/>
            </w:pPr>
            <w:r>
              <w:t>Dopo il corso sono previsti un supporto operativo, una pratica di follow-up o un ripasso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Non ogni lezione ha bisogno di tutti e nove</w:t>
      </w:r>
    </w:p>
    <w:p>
      <w:pPr>
        <w:pStyle w:val="ListBullet"/>
      </w:pPr>
      <w:r>
        <w:t>Adatta, combina o ripeti gli eventi in base all'obiettivo e alle conoscenze pregresse. La breve durata da sola non è un motivo per eliminare richiamo, pratica o valutazione.</w:t>
      </w:r>
    </w:p>
    <w:p>
      <w:pPr>
        <w:pStyle w:val="ListBullet"/>
      </w:pPr>
      <w:r>
        <w:t>L'ordine può cambiare. Alcune lezioni partono dalla pratica e presentano i contenuti dopo.</w:t>
      </w:r>
    </w:p>
    <w:p>
      <w:pPr>
        <w:pStyle w:val="ListBullet"/>
      </w:pPr>
      <w:r>
        <w:t>Gli eventi 6 e 7 sono quelli che mancano più spesso nei corsi in autoapprendimento. Controllali per primi.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modello gratuito  |  pagina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