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</w:pPr>
      <w:r>
        <w:rPr>
          <w:b/>
          <w:color w:val="5D008F"/>
          <w:sz w:val="40"/>
        </w:rPr>
        <w:t>One-Page Training Program Plan</w:t>
      </w:r>
    </w:p>
    <w:p>
      <w:r>
        <w:rPr>
          <w:color w:val="5A5766"/>
          <w:sz w:val="22"/>
        </w:rPr>
        <w:t>A one-page plan for building a training program backwards: the business number first, then the behaviour, the objective, the assessment, the lessons and practice, the schedule, the on-the-job support and the evaluation plan. Page 2 is filled in with a contact-centre refund example (all numbers illustrative). Page 3 is blank for your program. It is a planning aid, not a validated instrument, and it gives no score.</w:t>
      </w:r>
    </w:p>
    <w:p>
      <w:r>
        <w:rPr>
          <w:i/>
          <w:color w:val="5A5766"/>
          <w:sz w:val="18"/>
        </w:rPr>
        <w:t>From the Coursebox blog: coursebox.ai/blog/how-to-design-and-deliver-training-programs</w:t>
      </w:r>
    </w:p>
    <w:p>
      <w:pPr>
        <w:keepNext/>
        <w:spacing w:before="240" w:after="80"/>
      </w:pPr>
      <w:r>
        <w:rPr>
          <w:b/>
          <w:color w:val="5D008F"/>
          <w:sz w:val="28"/>
        </w:rPr>
        <w:t>How to use it</w:t>
      </w:r>
    </w:p>
    <w:p>
      <w:pPr>
        <w:pStyle w:val="ListBullet"/>
      </w:pPr>
      <w:r>
        <w:t>Fill the rows from top to bottom. Do not write a lesson until the assessment row is done.</w:t>
      </w:r>
    </w:p>
    <w:p>
      <w:pPr>
        <w:pStyle w:val="ListBullet"/>
      </w:pPr>
      <w:r>
        <w:t>If row 2 says training is not the answer, stop and fix the system, the tool or the incentive instead.</w:t>
      </w:r>
    </w:p>
    <w:p>
      <w:pPr>
        <w:pStyle w:val="ListBullet"/>
      </w:pPr>
      <w:r>
        <w:t>Write the actual artefact in each row: the real assessment item, the real checklist, the real dates.</w:t>
      </w:r>
    </w:p>
    <w:p>
      <w:pPr>
        <w:pStyle w:val="ListBullet"/>
      </w:pPr>
      <w:r>
        <w:t>Agree rows 1 and 10 with the manager who owns the number before you build anything.</w:t>
      </w:r>
    </w:p>
    <w:p>
      <w:pPr>
        <w:pStyle w:val="ListBullet"/>
      </w:pPr>
      <w:r>
        <w:t>Review the plan with that manager after the first evaluation date and change what did not work.</w:t>
      </w:r>
    </w:p>
    <w:p>
      <w:pPr>
        <w:keepNext/>
        <w:pageBreakBefore/>
        <w:spacing w:before="240" w:after="80"/>
      </w:pPr>
      <w:r>
        <w:rPr>
          <w:b/>
          <w:color w:val="5D008F"/>
          <w:sz w:val="28"/>
        </w:rPr>
        <w:t>Worked example: refund calls in a 40-agent contact centre</w:t>
      </w:r>
    </w:p>
    <w:p>
      <w:r>
        <w:t>Illustrative example. The policy: refunds within 30 days of the purchase date in the CRM (day 30 is eligible); after 30 days decline voluntary change-of-mind refunds only; faults and statutory rights use the approved remedies process; over $200 goes to a team leader before the agent promises money; the agent checks the date in the CRM; the agent records the outcome and reason.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6" w:color="D9CCE3"/>
          <w:left w:val="single" w:sz="6" w:color="D9CCE3"/>
          <w:bottom w:val="single" w:sz="6" w:color="D9CCE3"/>
          <w:right w:val="single" w:sz="6" w:color="D9CCE3"/>
          <w:insideH w:val="single" w:sz="6" w:color="D9CCE3"/>
          <w:insideV w:val="single" w:sz="6" w:color="D9CCE3"/>
        </w:tblBorders>
      </w:tblPr>
      <w:tblGrid>
        <w:gridCol w:w="4986"/>
        <w:gridCol w:w="4986"/>
      </w:tblGrid>
      <w:tr>
        <w:trPr>
          <w:tblHeader w:val="true"/>
          <w:cantSplit w:val="true"/>
        </w:trPr>
        <w:tc>
          <w:tcPr>
            <w:tcW w:type="dxa" w:w="2608"/>
            <w:shd w:val="clear" w:color="auto" w:fill="5D008F"/>
          </w:tcPr>
          <w:p>
            <w:pPr>
              <w:spacing w:before="60" w:after="60"/>
            </w:pPr>
            <w:r/>
            <w:r>
              <w:rPr>
                <w:b/>
                <w:color w:val="FFFFFF"/>
              </w:rPr>
              <w:t>Plan field</w:t>
            </w:r>
          </w:p>
        </w:tc>
        <w:tc>
          <w:tcPr>
            <w:tcW w:type="dxa" w:w="7030"/>
            <w:shd w:val="clear" w:color="auto" w:fill="5D008F"/>
          </w:tcPr>
          <w:p>
            <w:pPr>
              <w:spacing w:before="60" w:after="60"/>
            </w:pPr>
            <w:r/>
            <w:r>
              <w:rPr>
                <w:b/>
                <w:color w:val="FFFFFF"/>
              </w:rPr>
              <w:t>What goes here</w:t>
            </w:r>
          </w:p>
        </w:tc>
      </w:tr>
      <w:tr>
        <w:trPr>
          <w:cantSplit w:val="true"/>
        </w:trPr>
        <w:tc>
          <w:tcPr>
            <w:tcW w:type="dxa" w:w="2608"/>
          </w:tcPr>
          <w:p>
            <w:pPr>
              <w:spacing w:before="60" w:after="60"/>
            </w:pPr>
            <w:r/>
            <w:r>
              <w:rPr>
                <w:b/>
              </w:rPr>
              <w:t>1. Business problem and number</w:t>
            </w:r>
          </w:p>
        </w:tc>
        <w:tc>
          <w:tcPr>
            <w:tcW w:type="dxa" w:w="7030"/>
          </w:tcPr>
          <w:p>
            <w:pPr>
              <w:spacing w:before="60" w:after="60"/>
            </w:pPr>
            <w:r/>
            <w:r>
              <w:t>Refund calls that break policy. Baseline: 18 of 100 sampled calls in last quarter's QA audit. Target: 5 of 100 in the first QA audit after launch.</w:t>
            </w:r>
          </w:p>
        </w:tc>
      </w:tr>
      <w:tr>
        <w:trPr>
          <w:cantSplit w:val="true"/>
        </w:trPr>
        <w:tc>
          <w:tcPr>
            <w:tcW w:type="dxa" w:w="2608"/>
            <w:shd w:val="clear" w:color="auto" w:fill="F7F0FB"/>
          </w:tcPr>
          <w:p>
            <w:pPr>
              <w:spacing w:before="60" w:after="60"/>
            </w:pPr>
            <w:r/>
            <w:r>
              <w:rPr>
                <w:b/>
              </w:rPr>
              <w:t>2. Is training the answer?</w:t>
            </w:r>
          </w:p>
        </w:tc>
        <w:tc>
          <w:tcPr>
            <w:tcW w:type="dxa" w:w="7030"/>
            <w:shd w:val="clear" w:color="auto" w:fill="F7F0FB"/>
          </w:tcPr>
          <w:p>
            <w:pPr>
              <w:spacing w:before="60" w:after="60"/>
            </w:pPr>
            <w:r/>
            <w:r>
              <w:t>Partly. A 10-question check of 10 agents: 6 could not state the $200 escalation rule, so train. Check whether agents can find and interpret the CRM date; its presence alone does not rule out a usability problem. Call-speed bonus reviewed with the team manager.</w:t>
            </w:r>
          </w:p>
        </w:tc>
      </w:tr>
      <w:tr>
        <w:trPr>
          <w:cantSplit w:val="true"/>
        </w:trPr>
        <w:tc>
          <w:tcPr>
            <w:tcW w:type="dxa" w:w="2608"/>
          </w:tcPr>
          <w:p>
            <w:pPr>
              <w:spacing w:before="60" w:after="60"/>
            </w:pPr>
            <w:r/>
            <w:r>
              <w:rPr>
                <w:b/>
              </w:rPr>
              <w:t>3. Audience</w:t>
            </w:r>
          </w:p>
        </w:tc>
        <w:tc>
          <w:tcPr>
            <w:tcW w:type="dxa" w:w="7030"/>
          </w:tcPr>
          <w:p>
            <w:pPr>
              <w:spacing w:before="60" w:after="60"/>
            </w:pPr>
            <w:r/>
            <w:r>
              <w:t>40 contact-centre agents who take refund calls.</w:t>
            </w:r>
          </w:p>
        </w:tc>
      </w:tr>
      <w:tr>
        <w:trPr>
          <w:cantSplit w:val="true"/>
        </w:trPr>
        <w:tc>
          <w:tcPr>
            <w:tcW w:type="dxa" w:w="2608"/>
            <w:shd w:val="clear" w:color="auto" w:fill="F7F0FB"/>
          </w:tcPr>
          <w:p>
            <w:pPr>
              <w:spacing w:before="60" w:after="60"/>
            </w:pPr>
            <w:r/>
            <w:r>
              <w:rPr>
                <w:b/>
              </w:rPr>
              <w:t>4. Objective</w:t>
            </w:r>
          </w:p>
        </w:tc>
        <w:tc>
          <w:tcPr>
            <w:tcW w:type="dxa" w:w="7030"/>
            <w:shd w:val="clear" w:color="auto" w:fill="F7F0FB"/>
          </w:tcPr>
          <w:p>
            <w:pPr>
              <w:spacing w:before="60" w:after="60"/>
            </w:pPr>
            <w:r/>
            <w:r>
              <w:t>Given a change-of-mind call, the approved policy and CRM, check facts, decide and explain the action without an unapproved promise. A 9-of-10 score prompts further checking; demonstrate every essential rule.</w:t>
            </w:r>
          </w:p>
        </w:tc>
      </w:tr>
      <w:tr>
        <w:trPr>
          <w:cantSplit w:val="true"/>
        </w:trPr>
        <w:tc>
          <w:tcPr>
            <w:tcW w:type="dxa" w:w="2608"/>
          </w:tcPr>
          <w:p>
            <w:pPr>
              <w:spacing w:before="60" w:after="60"/>
            </w:pPr>
            <w:r/>
            <w:r>
              <w:rPr>
                <w:b/>
              </w:rPr>
              <w:t>5. Assessment</w:t>
            </w:r>
          </w:p>
        </w:tc>
        <w:tc>
          <w:tcPr>
            <w:tcW w:type="dxa" w:w="7030"/>
          </w:tcPr>
          <w:p>
            <w:pPr>
              <w:spacing w:before="60" w:after="60"/>
            </w:pPr>
            <w:r/>
            <w:r>
              <w:t>10 scenario items, pass mark 9 of 10. Sample: a customer no longer wants a working $89 blender bought 40 days ago. Decline the voluntary change-of-mind refund. If a fault is reported, use the separate approved remedies process.</w:t>
            </w:r>
          </w:p>
        </w:tc>
      </w:tr>
      <w:tr>
        <w:trPr>
          <w:cantSplit w:val="true"/>
        </w:trPr>
        <w:tc>
          <w:tcPr>
            <w:tcW w:type="dxa" w:w="2608"/>
            <w:shd w:val="clear" w:color="auto" w:fill="F7F0FB"/>
          </w:tcPr>
          <w:p>
            <w:pPr>
              <w:spacing w:before="60" w:after="60"/>
            </w:pPr>
            <w:r/>
            <w:r>
              <w:rPr>
                <w:b/>
              </w:rPr>
              <w:t>6. Outline</w:t>
            </w:r>
          </w:p>
        </w:tc>
        <w:tc>
          <w:tcPr>
            <w:tcW w:type="dxa" w:w="7030"/>
            <w:shd w:val="clear" w:color="auto" w:fill="F7F0FB"/>
          </w:tcPr>
          <w:p>
            <w:pPr>
              <w:spacing w:before="60" w:after="60"/>
            </w:pPr>
            <w:r/>
            <w:r>
              <w:t>Lessons (3): the refund rule; the CRM fields to check; the escalation script. Practice (4): scenario calls in pairs; branching call simulation; spot the error in an anonymised QA call note; script rehearsal. Assessment (1): the 10 scenarios.</w:t>
            </w:r>
          </w:p>
        </w:tc>
      </w:tr>
      <w:tr>
        <w:trPr>
          <w:cantSplit w:val="true"/>
        </w:trPr>
        <w:tc>
          <w:tcPr>
            <w:tcW w:type="dxa" w:w="2608"/>
          </w:tcPr>
          <w:p>
            <w:pPr>
              <w:spacing w:before="60" w:after="60"/>
            </w:pPr>
            <w:r/>
            <w:r>
              <w:rPr>
                <w:b/>
              </w:rPr>
              <w:t>7. Format and schedule</w:t>
            </w:r>
          </w:p>
        </w:tc>
        <w:tc>
          <w:tcPr>
            <w:tcW w:type="dxa" w:w="7030"/>
          </w:tcPr>
          <w:p>
            <w:pPr>
              <w:spacing w:before="60" w:after="60"/>
            </w:pPr>
            <w:r/>
            <w:r>
              <w:t>Day 1: online lessons, the branching call simulation and spot the error, about 30 minutes. Day 2: live paired calls, script rehearsal and the assessment, 45 minutes. Short scenario quizzes on days 3, 10 and 24. First week back on calls: on-the-job support.</w:t>
            </w:r>
          </w:p>
        </w:tc>
      </w:tr>
      <w:tr>
        <w:trPr>
          <w:cantSplit w:val="true"/>
        </w:trPr>
        <w:tc>
          <w:tcPr>
            <w:tcW w:type="dxa" w:w="2608"/>
            <w:shd w:val="clear" w:color="auto" w:fill="F7F0FB"/>
          </w:tcPr>
          <w:p>
            <w:pPr>
              <w:spacing w:before="60" w:after="60"/>
            </w:pPr>
            <w:r/>
            <w:r>
              <w:rPr>
                <w:b/>
              </w:rPr>
              <w:t>8. On-the-job support</w:t>
            </w:r>
          </w:p>
        </w:tc>
        <w:tc>
          <w:tcPr>
            <w:tcW w:type="dxa" w:w="7030"/>
            <w:shd w:val="clear" w:color="auto" w:fill="F7F0FB"/>
          </w:tcPr>
          <w:p>
            <w:pPr>
              <w:spacing w:before="60" w:after="60"/>
            </w:pPr>
            <w:r/>
            <w:r>
              <w:t>Team leaders listen to two refund calls per agent in week 2 with a three-item checklist: checked the purchase date in the CRM; applied the 30-day rule; escalated over $200 before promising money.</w:t>
            </w:r>
          </w:p>
        </w:tc>
      </w:tr>
      <w:tr>
        <w:trPr>
          <w:cantSplit w:val="true"/>
        </w:trPr>
        <w:tc>
          <w:tcPr>
            <w:tcW w:type="dxa" w:w="2608"/>
          </w:tcPr>
          <w:p>
            <w:pPr>
              <w:spacing w:before="60" w:after="60"/>
            </w:pPr>
            <w:r/>
            <w:r>
              <w:rPr>
                <w:b/>
              </w:rPr>
              <w:t>9. Evaluation plan</w:t>
            </w:r>
          </w:p>
        </w:tc>
        <w:tc>
          <w:tcPr>
            <w:tcW w:type="dxa" w:w="7030"/>
          </w:tcPr>
          <w:p>
            <w:pPr>
              <w:spacing w:before="60" w:after="60"/>
            </w:pPr>
            <w:r/>
            <w:r>
              <w:t>Level 4: agree a business outcome, baseline and review period, such as avoidable complaint cost. Level 3: policy breaches per 100 comparable calls and the week-2 listening checklist. Level 2: scenario assessment score, course report, day 2. Level 1: two-question reaction survey, end of day 2.</w:t>
            </w:r>
          </w:p>
        </w:tc>
      </w:tr>
      <w:tr>
        <w:trPr>
          <w:cantSplit w:val="true"/>
        </w:trPr>
        <w:tc>
          <w:tcPr>
            <w:tcW w:type="dxa" w:w="2608"/>
            <w:shd w:val="clear" w:color="auto" w:fill="F7F0FB"/>
          </w:tcPr>
          <w:p>
            <w:pPr>
              <w:spacing w:before="60" w:after="60"/>
            </w:pPr>
            <w:r/>
            <w:r>
              <w:rPr>
                <w:b/>
              </w:rPr>
              <w:t>10. Owner and review date</w:t>
            </w:r>
          </w:p>
        </w:tc>
        <w:tc>
          <w:tcPr>
            <w:tcW w:type="dxa" w:w="7030"/>
            <w:shd w:val="clear" w:color="auto" w:fill="F7F0FB"/>
          </w:tcPr>
          <w:p>
            <w:pPr>
              <w:spacing w:before="60" w:after="60"/>
            </w:pPr>
            <w:r/>
            <w:r>
              <w:t>Contact-centre manager. Review after the first QA audit following launch.</w:t>
            </w:r>
          </w:p>
        </w:tc>
      </w:tr>
    </w:tbl>
    <w:p>
      <w:pPr>
        <w:keepNext/>
        <w:pageBreakBefore/>
        <w:spacing w:before="240" w:after="80"/>
      </w:pPr>
      <w:r>
        <w:rPr>
          <w:b/>
          <w:color w:val="5D008F"/>
          <w:sz w:val="28"/>
        </w:rPr>
        <w:t>Your training program plan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6" w:color="D9CCE3"/>
          <w:left w:val="single" w:sz="6" w:color="D9CCE3"/>
          <w:bottom w:val="single" w:sz="6" w:color="D9CCE3"/>
          <w:right w:val="single" w:sz="6" w:color="D9CCE3"/>
          <w:insideH w:val="single" w:sz="6" w:color="D9CCE3"/>
          <w:insideV w:val="single" w:sz="6" w:color="D9CCE3"/>
        </w:tblBorders>
      </w:tblPr>
      <w:tblGrid>
        <w:gridCol w:w="4986"/>
        <w:gridCol w:w="4986"/>
      </w:tblGrid>
      <w:tr>
        <w:trPr>
          <w:tblHeader w:val="true"/>
          <w:cantSplit w:val="true"/>
        </w:trPr>
        <w:tc>
          <w:tcPr>
            <w:tcW w:type="dxa" w:w="2608"/>
            <w:shd w:val="clear" w:color="auto" w:fill="5D008F"/>
          </w:tcPr>
          <w:p>
            <w:pPr>
              <w:spacing w:before="60" w:after="60"/>
            </w:pPr>
            <w:r/>
            <w:r>
              <w:rPr>
                <w:b/>
                <w:color w:val="FFFFFF"/>
              </w:rPr>
              <w:t>Plan field</w:t>
            </w:r>
          </w:p>
        </w:tc>
        <w:tc>
          <w:tcPr>
            <w:tcW w:type="dxa" w:w="7030"/>
            <w:shd w:val="clear" w:color="auto" w:fill="5D008F"/>
          </w:tcPr>
          <w:p>
            <w:pPr>
              <w:spacing w:before="60" w:after="60"/>
            </w:pPr>
            <w:r/>
            <w:r>
              <w:rPr>
                <w:b/>
                <w:color w:val="FFFFFF"/>
              </w:rPr>
              <w:t>Your answer</w:t>
            </w:r>
          </w:p>
        </w:tc>
      </w:tr>
      <w:tr>
        <w:trPr>
          <w:cantSplit w:val="true"/>
          <w:trHeight w:val="1134"/>
        </w:trPr>
        <w:tc>
          <w:tcPr>
            <w:tcW w:type="dxa" w:w="2608"/>
          </w:tcPr>
          <w:p>
            <w:pPr>
              <w:spacing w:before="60" w:after="60"/>
            </w:pPr>
            <w:r/>
            <w:r>
              <w:rPr>
                <w:b/>
              </w:rPr>
              <w:t>1. Business problem and number (baseline, target, date)</w:t>
            </w:r>
          </w:p>
        </w:tc>
        <w:tc>
          <w:tcPr>
            <w:tcW w:type="dxa" w:w="7030"/>
          </w:tcPr>
          <w:p>
            <w:pPr>
              <w:spacing w:before="60" w:after="60"/>
            </w:pPr>
            <w:r/>
          </w:p>
        </w:tc>
      </w:tr>
      <w:tr>
        <w:trPr>
          <w:cantSplit w:val="true"/>
          <w:trHeight w:val="1134"/>
        </w:trPr>
        <w:tc>
          <w:tcPr>
            <w:tcW w:type="dxa" w:w="2608"/>
            <w:shd w:val="clear" w:color="auto" w:fill="F7F0FB"/>
          </w:tcPr>
          <w:p>
            <w:pPr>
              <w:spacing w:before="60" w:after="60"/>
            </w:pPr>
            <w:r/>
            <w:r>
              <w:rPr>
                <w:b/>
              </w:rPr>
              <w:t>2. Is training the answer? (yes / partly / no, and any non-training fix)</w:t>
            </w:r>
          </w:p>
        </w:tc>
        <w:tc>
          <w:tcPr>
            <w:tcW w:type="dxa" w:w="7030"/>
            <w:shd w:val="clear" w:color="auto" w:fill="F7F0FB"/>
          </w:tcPr>
          <w:p>
            <w:pPr>
              <w:spacing w:before="60" w:after="60"/>
            </w:pPr>
            <w:r/>
          </w:p>
        </w:tc>
      </w:tr>
      <w:tr>
        <w:trPr>
          <w:cantSplit w:val="true"/>
          <w:trHeight w:val="1134"/>
        </w:trPr>
        <w:tc>
          <w:tcPr>
            <w:tcW w:type="dxa" w:w="2608"/>
          </w:tcPr>
          <w:p>
            <w:pPr>
              <w:spacing w:before="60" w:after="60"/>
            </w:pPr>
            <w:r/>
            <w:r>
              <w:rPr>
                <w:b/>
              </w:rPr>
              <w:t>3. Audience</w:t>
            </w:r>
          </w:p>
        </w:tc>
        <w:tc>
          <w:tcPr>
            <w:tcW w:type="dxa" w:w="7030"/>
          </w:tcPr>
          <w:p>
            <w:pPr>
              <w:spacing w:before="60" w:after="60"/>
            </w:pPr>
            <w:r/>
          </w:p>
        </w:tc>
      </w:tr>
      <w:tr>
        <w:trPr>
          <w:cantSplit w:val="true"/>
          <w:trHeight w:val="1134"/>
        </w:trPr>
        <w:tc>
          <w:tcPr>
            <w:tcW w:type="dxa" w:w="2608"/>
            <w:shd w:val="clear" w:color="auto" w:fill="F7F0FB"/>
          </w:tcPr>
          <w:p>
            <w:pPr>
              <w:spacing w:before="60" w:after="60"/>
            </w:pPr>
            <w:r/>
            <w:r>
              <w:rPr>
                <w:b/>
              </w:rPr>
              <w:t>4. Objective (an observable behaviour)</w:t>
            </w:r>
          </w:p>
        </w:tc>
        <w:tc>
          <w:tcPr>
            <w:tcW w:type="dxa" w:w="7030"/>
            <w:shd w:val="clear" w:color="auto" w:fill="F7F0FB"/>
          </w:tcPr>
          <w:p>
            <w:pPr>
              <w:spacing w:before="60" w:after="60"/>
            </w:pPr>
            <w:r/>
          </w:p>
        </w:tc>
      </w:tr>
      <w:tr>
        <w:trPr>
          <w:cantSplit w:val="true"/>
          <w:trHeight w:val="1134"/>
        </w:trPr>
        <w:tc>
          <w:tcPr>
            <w:tcW w:type="dxa" w:w="2608"/>
          </w:tcPr>
          <w:p>
            <w:pPr>
              <w:spacing w:before="60" w:after="60"/>
            </w:pPr>
            <w:r/>
            <w:r>
              <w:rPr>
                <w:b/>
              </w:rPr>
              <w:t>5. Assessment (one sample item, pass mark)</w:t>
            </w:r>
          </w:p>
        </w:tc>
        <w:tc>
          <w:tcPr>
            <w:tcW w:type="dxa" w:w="7030"/>
          </w:tcPr>
          <w:p>
            <w:pPr>
              <w:spacing w:before="60" w:after="60"/>
            </w:pPr>
            <w:r/>
          </w:p>
        </w:tc>
      </w:tr>
      <w:tr>
        <w:trPr>
          <w:cantSplit w:val="true"/>
          <w:trHeight w:val="1134"/>
        </w:trPr>
        <w:tc>
          <w:tcPr>
            <w:tcW w:type="dxa" w:w="2608"/>
            <w:shd w:val="clear" w:color="auto" w:fill="F7F0FB"/>
          </w:tcPr>
          <w:p>
            <w:pPr>
              <w:spacing w:before="60" w:after="60"/>
            </w:pPr>
            <w:r/>
            <w:r>
              <w:rPr>
                <w:b/>
              </w:rPr>
              <w:t>6. Outline (lessons / practice / assessment)</w:t>
            </w:r>
          </w:p>
        </w:tc>
        <w:tc>
          <w:tcPr>
            <w:tcW w:type="dxa" w:w="7030"/>
            <w:shd w:val="clear" w:color="auto" w:fill="F7F0FB"/>
          </w:tcPr>
          <w:p>
            <w:pPr>
              <w:spacing w:before="60" w:after="60"/>
            </w:pPr>
            <w:r/>
          </w:p>
        </w:tc>
      </w:tr>
      <w:tr>
        <w:trPr>
          <w:cantSplit w:val="true"/>
          <w:trHeight w:val="1134"/>
        </w:trPr>
        <w:tc>
          <w:tcPr>
            <w:tcW w:type="dxa" w:w="2608"/>
          </w:tcPr>
          <w:p>
            <w:pPr>
              <w:spacing w:before="60" w:after="60"/>
            </w:pPr>
            <w:r/>
            <w:r>
              <w:rPr>
                <w:b/>
              </w:rPr>
              <w:t>7. Format and schedule</w:t>
            </w:r>
          </w:p>
        </w:tc>
        <w:tc>
          <w:tcPr>
            <w:tcW w:type="dxa" w:w="7030"/>
          </w:tcPr>
          <w:p>
            <w:pPr>
              <w:spacing w:before="60" w:after="60"/>
            </w:pPr>
            <w:r/>
          </w:p>
        </w:tc>
      </w:tr>
      <w:tr>
        <w:trPr>
          <w:cantSplit w:val="true"/>
          <w:trHeight w:val="1134"/>
        </w:trPr>
        <w:tc>
          <w:tcPr>
            <w:tcW w:type="dxa" w:w="2608"/>
            <w:shd w:val="clear" w:color="auto" w:fill="F7F0FB"/>
          </w:tcPr>
          <w:p>
            <w:pPr>
              <w:spacing w:before="60" w:after="60"/>
            </w:pPr>
            <w:r/>
            <w:r>
              <w:rPr>
                <w:b/>
              </w:rPr>
              <w:t>8. On-the-job support (who, what checklist, when)</w:t>
            </w:r>
          </w:p>
        </w:tc>
        <w:tc>
          <w:tcPr>
            <w:tcW w:type="dxa" w:w="7030"/>
            <w:shd w:val="clear" w:color="auto" w:fill="F7F0FB"/>
          </w:tcPr>
          <w:p>
            <w:pPr>
              <w:spacing w:before="60" w:after="60"/>
            </w:pPr>
            <w:r/>
          </w:p>
        </w:tc>
      </w:tr>
      <w:tr>
        <w:trPr>
          <w:cantSplit w:val="true"/>
          <w:trHeight w:val="1134"/>
        </w:trPr>
        <w:tc>
          <w:tcPr>
            <w:tcW w:type="dxa" w:w="2608"/>
          </w:tcPr>
          <w:p>
            <w:pPr>
              <w:spacing w:before="60" w:after="60"/>
            </w:pPr>
            <w:r/>
            <w:r>
              <w:rPr>
                <w:b/>
              </w:rPr>
              <w:t>9. Evaluation plan (Levels 1 to 4: measure, source, date)</w:t>
            </w:r>
          </w:p>
        </w:tc>
        <w:tc>
          <w:tcPr>
            <w:tcW w:type="dxa" w:w="7030"/>
          </w:tcPr>
          <w:p>
            <w:pPr>
              <w:spacing w:before="60" w:after="60"/>
            </w:pPr>
            <w:r/>
          </w:p>
        </w:tc>
      </w:tr>
      <w:tr>
        <w:trPr>
          <w:cantSplit w:val="true"/>
          <w:trHeight w:val="1134"/>
        </w:trPr>
        <w:tc>
          <w:tcPr>
            <w:tcW w:type="dxa" w:w="2608"/>
            <w:shd w:val="clear" w:color="auto" w:fill="F7F0FB"/>
          </w:tcPr>
          <w:p>
            <w:pPr>
              <w:spacing w:before="60" w:after="60"/>
            </w:pPr>
            <w:r/>
            <w:r>
              <w:rPr>
                <w:b/>
              </w:rPr>
              <w:t>10. Owner and review date</w:t>
            </w:r>
          </w:p>
        </w:tc>
        <w:tc>
          <w:tcPr>
            <w:tcW w:type="dxa" w:w="7030"/>
            <w:shd w:val="clear" w:color="auto" w:fill="F7F0FB"/>
          </w:tcPr>
          <w:p>
            <w:pPr>
              <w:spacing w:before="60" w:after="60"/>
            </w:pPr>
            <w:r/>
          </w:p>
        </w:tc>
      </w:tr>
    </w:tbl>
    <w:p>
      <w:pPr>
        <w:spacing w:before="160"/>
      </w:pPr>
      <w:r>
        <w:rPr>
          <w:i/>
          <w:color w:val="5A5766"/>
        </w:rPr>
        <w:t>Rows 1 and 10 belong to the manager who owns the number. Agree them before you build anything.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907" w:right="1134" w:bottom="907" w:left="1134" w:header="454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5A5766"/>
        <w:sz w:val="16"/>
      </w:rPr>
      <w:t xml:space="preserve">coursebox.ai  |  free template  |  page </w:t>
    </w:r>
    <w:r>
      <w:rPr>
        <w:color w:val="5A5766"/>
        <w:sz w:val="16"/>
      </w:rPr>
      <w:fldChar w:fldCharType="begin"/>
      <w:instrText xml:space="preserve">PAGE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drawing>
        <wp:inline xmlns:a="http://schemas.openxmlformats.org/drawingml/2006/main" xmlns:pic="http://schemas.openxmlformats.org/drawingml/2006/picture">
          <wp:extent cx="216000" cy="216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coursebox-logomark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16000" cy="216000"/>
                  </a:xfrm>
                  <a:prstGeom prst="rect"/>
                </pic:spPr>
              </pic:pic>
            </a:graphicData>
          </a:graphic>
        </wp:inline>
      </w:drawing>
    </w:r>
    <w:r>
      <w:rPr>
        <w:b/>
        <w:color w:val="5D008F"/>
        <w:sz w:val="22"/>
      </w:rPr>
      <w:t xml:space="preserve">  Coursebox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eastAsia="Calibri"/>
      <w:color w:val="1A162E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