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80"/>
      </w:pPr>
      <w:r>
        <w:rPr>
          <w:b/>
          <w:color w:val="5D008F"/>
          <w:sz w:val="40"/>
        </w:rPr>
        <w:t>Scenario Decision Map and Debrief Sheet</w:t>
      </w:r>
    </w:p>
    <w:p>
      <w:pPr>
        <w:pageBreakBefore w:val="0"/>
      </w:pPr>
      <w:r>
        <w:rPr>
          <w:color w:val="5A5766"/>
          <w:sz w:val="22"/>
        </w:rPr>
        <w:t>For writing the decisions in a workplace scenario and judging what learners produce. Part 1 maps each decision: the options, what happens next and the coach's note. Part 2 gives debrief questions tied to the learner's own choices. Part 3 is a rating sheet for the expert who reads the learner's written work. It is a Coursebox adaptation of the feedback and reflection components in Ruth Colvin Clark's Scenario-Based e-Learning (2013), not a validated instrument, and it gives no total score. A hypothetical property management course on a disputed hot water repair is filled in as an example; its dollar figures are illustrative.</w:t>
      </w:r>
    </w:p>
    <w:p>
      <w:pPr>
        <w:pageBreakBefore w:val="0"/>
      </w:pPr>
      <w:r>
        <w:rPr>
          <w:i/>
          <w:color w:val="5A5766"/>
          <w:sz w:val="18"/>
        </w:rPr>
        <w:t>From the Coursebox blog: coursebox.ai/blog/scenario-based-learning</w:t>
      </w:r>
    </w:p>
    <w:p>
      <w:pPr>
        <w:keepNext/>
        <w:pageBreakBefore w:val="0"/>
        <w:spacing w:before="240" w:after="80"/>
      </w:pPr>
      <w:r>
        <w:rPr>
          <w:b/>
          <w:color w:val="5D008F"/>
          <w:sz w:val="28"/>
        </w:rPr>
        <w:t>How to use this sheet</w:t>
      </w:r>
    </w:p>
    <w:p>
      <w:pPr>
        <w:pStyle w:val="ListBullet"/>
        <w:keepNext/>
        <w:pageBreakBefore w:val="0"/>
      </w:pPr>
      <w:r>
        <w:t>Choose enough decisions and options to practise the target task. Three decisions with three options are this example’s design, not a model requirement.</w:t>
      </w:r>
    </w:p>
    <w:p>
      <w:pPr>
        <w:pStyle w:val="ListBullet"/>
        <w:keepNext/>
        <w:pageBreakBefore w:val="0"/>
      </w:pPr>
      <w:r>
        <w:t>For every option, including the best one, write what happens next. Consequence before explanation is this example’s design. Every decision needs useful feedback.</w:t>
      </w:r>
    </w:p>
    <w:p>
      <w:pPr>
        <w:pStyle w:val="ListBullet"/>
        <w:keepNext/>
        <w:pageBreakBefore w:val="0"/>
      </w:pPr>
      <w:r>
        <w:t>Then write the coach's note: who explains, and which rule, limit or document applied. Avoid "Correct" and "Incorrect" labels.</w:t>
      </w:r>
    </w:p>
    <w:p>
      <w:pPr>
        <w:pStyle w:val="ListBullet"/>
        <w:keepNext/>
        <w:pageBreakBefore w:val="0"/>
      </w:pPr>
      <w:r>
        <w:t>Use Part 2 straight after the scenario. Keep it short and tied to what the learner decided.</w:t>
      </w:r>
    </w:p>
    <w:p>
      <w:pPr>
        <w:pStyle w:val="ListBullet"/>
        <w:keepNext/>
        <w:pageBreakBefore w:val="0"/>
      </w:pPr>
      <w:r>
        <w:t>Give Part 3 to the person who reads the learner's written work. Each criterion is judged on its own. Do not add the ratings up.</w:t>
      </w:r>
    </w:p>
    <w:p>
      <w:pPr>
        <w:keepNext/>
        <w:pageBreakBefore w:val="0"/>
        <w:spacing w:before="240" w:after="80"/>
      </w:pPr>
      <w:r>
        <w:rPr>
          <w:b/>
          <w:color w:val="5D008F"/>
          <w:sz w:val="28"/>
        </w:rPr>
        <w:t>Part 1. Decision map: worked example</w:t>
      </w:r>
    </w:p>
    <w:p>
      <w:pPr>
        <w:keepNext/>
        <w:pageBreakBefore w:val="0"/>
      </w:pPr>
      <w:r>
        <w:t>Hypothetical example. A newly promoted property manager handles a tenant's Monday 8:10 am email about a leaking hot water system. Case data: urgent repairs procedure; $500 approval limit without the owner; the owner, who lives overseas, wants three quotes for anything over $800; plumber $380 to replace a failed valve or about $1,650 for a new tank; rent paid up to date.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Decision</w:t>
            </w:r>
          </w:p>
        </w:tc>
        <w:tc>
          <w:tcPr>
            <w:tcW w:type="dxa" w:w="2494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Option</w:t>
            </w:r>
          </w:p>
        </w:tc>
        <w:tc>
          <w:tcPr>
            <w:tcW w:type="dxa" w:w="2721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What happens next</w:t>
            </w:r>
          </w:p>
        </w:tc>
        <w:tc>
          <w:tcPr>
            <w:tcW w:type="dxa" w:w="2721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Senior property manager's note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  <w:t>1. First reply to the tenant, within the hour</w:t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>
              <w:t>Promise to chase the owner, with no time frame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The tenant lodges a complaint that afternoon, and the unanswered report from three weeks ago becomes the agency's problem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Hot water failure is an urgent repair under the procedure. Say what happens today and ask for access. Rent is not the first issue.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>
              <w:t>Acknowledge, classify it as urgent, say a plumber is being arranged today and ask for access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The tenant agrees to access at 11 am and does not repeat the threat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This follows the procedure: urgent classification, action today and access arranged.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>
              <w:t>Tell the tenant they must keep paying rent and quote the lease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The scenario shows the tenant escalating and copying the owner; no legal finding is made about rent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Leading with rent turns a repair into a dispute. Deal with the repair first.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  <w:t>2. Owner unreachable by noon; valve has failed ($380)</w:t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>
              <w:t>Wait for three quotes, as the owner asked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No hot water for another three days, and a second complaint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The three-quote rule is for work over $800. This is $380 and urgent.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>
              <w:t>Authorise the $380 repair under the urgent repairs procedure and keep trying the owner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Hot water is back that evening; the owner later asks why they were not called, and the file note shows the calls and the limit used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The procedure allows the approved plumber for urgent repairs within the limit when the owner cannot be reached. $380 is under $500.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>
              <w:t>Approve a full tank replacement at $1,650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Outside the agency's authority; the owner refuses to pay and the agency bears the cost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$1,650 is over the $500 limit and the $800 quote rule. The plumber found a failed valve, not a failed tank.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  <w:t>3. The owner replies, angry about being told after the fact</w:t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>
              <w:t>Apologise and offer to absorb the cost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The owner accepts, and the agency pays for a repair it was entitled to approve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Do not offer to absorb a cost the agreement allowed. Explain what you did and why.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>
              <w:t>Explain the urgent classification, the calls, the limit used and the earlier unanswered quote request, with the file note attached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The owner accepts the repair and asks to be called first next time</w:t>
            </w:r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>
              <w:t>Facts in order, with the file note as evidence. Agree how the owner wants to be contacted next time.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>
              <w:t>Forward the tenant's email without comment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The owner remains angry and asks who approved the work</w:t>
            </w:r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>
              <w:t>The owner needs your reasons, not the tenant's complaint.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1. Your decision map</w:t>
      </w:r>
    </w:p>
    <w:p>
      <w:pPr>
        <w:keepNext/>
        <w:pageBreakBefore w:val="0"/>
      </w:pPr>
      <w:r>
        <w:t>Scenario:                                                     Who gives the feedback: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Decision</w:t>
            </w:r>
          </w:p>
        </w:tc>
        <w:tc>
          <w:tcPr>
            <w:tcW w:type="dxa" w:w="2494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Option</w:t>
            </w:r>
          </w:p>
        </w:tc>
        <w:tc>
          <w:tcPr>
            <w:tcW w:type="dxa" w:w="2721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What happens next</w:t>
            </w:r>
          </w:p>
        </w:tc>
        <w:tc>
          <w:tcPr>
            <w:tcW w:type="dxa" w:w="2721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Coach's note and the rule behind it</w:t>
            </w:r>
          </w:p>
        </w:tc>
      </w:tr>
      <w:tr>
        <w:trPr>
          <w:cantSplit w:val="true"/>
          <w:trHeight w:val="992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  <w:t>1.</w:t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  <w:t>2.</w:t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  <w:t>3.</w:t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1701"/>
          </w:tcPr>
          <w:p>
            <w:pPr>
              <w:keepNext w:val="0"/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4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keepNext w:val="0"/>
              <w:spacing w:before="60" w:after="60"/>
            </w:pPr>
            <w:r/>
          </w:p>
        </w:tc>
      </w:tr>
    </w:tbl>
    <w:p>
      <w:pPr>
        <w:pageBreakBefore w:val="0"/>
        <w:spacing w:before="160"/>
      </w:pPr>
      <w:r>
        <w:rPr>
          <w:i/>
          <w:color w:val="5A5766"/>
        </w:rPr>
        <w:t>Check each row: could a learner make this decision from the case data alone? If not, add the missing fact or cut the decision.</w:t>
      </w:r>
    </w:p>
    <w:p>
      <w:pPr>
        <w:keepNext/>
        <w:pageBreakBefore w:val="0"/>
        <w:spacing w:before="240" w:after="80"/>
      </w:pPr>
      <w:r>
        <w:rPr>
          <w:b/>
          <w:color w:val="5D008F"/>
          <w:sz w:val="28"/>
        </w:rPr>
        <w:t>Part 2. Debrief questions</w:t>
      </w:r>
    </w:p>
    <w:p>
      <w:pPr>
        <w:keepNext/>
        <w:pageBreakBefore w:val="0"/>
      </w:pPr>
      <w:r>
        <w:t>Ask these in open text straight after the scenario, then show the model answer. A few sentences each is enough. Keep the debrief short. In a 2020 meta-analysis of simulation-based learning, reflection phases had different associations across learner groups; those subgroup comparisons do not establish that removing reflection improves a course (Chernikova et al., 2020).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628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Hot water course (example)</w:t>
            </w:r>
          </w:p>
        </w:tc>
        <w:tc>
          <w:tcPr>
            <w:tcW w:type="dxa" w:w="3175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Your scenario</w:t>
            </w:r>
          </w:p>
        </w:tc>
      </w:tr>
      <w:tr>
        <w:trPr>
          <w:cantSplit w:val="true"/>
          <w:trHeight w:val="1247"/>
        </w:trPr>
        <w:tc>
          <w:tcPr>
            <w:tcW w:type="dxa" w:w="2835"/>
          </w:tcPr>
          <w:p>
            <w:pPr>
              <w:keepNext w:val="0"/>
              <w:spacing w:before="60" w:after="60"/>
            </w:pPr>
            <w:r>
              <w:rPr>
                <w:b/>
              </w:rPr>
              <w:t>What did you decide at each point, and why?</w:t>
            </w:r>
          </w:p>
        </w:tc>
        <w:tc>
          <w:tcPr>
            <w:tcW w:type="dxa" w:w="3628"/>
          </w:tcPr>
          <w:p>
            <w:pPr>
              <w:keepNext w:val="0"/>
              <w:spacing w:before="60" w:after="60"/>
            </w:pPr>
            <w:r>
              <w:t>Your first reply, what you authorised at noon and what you told the owner.</w:t>
            </w:r>
          </w:p>
        </w:tc>
        <w:tc>
          <w:tcPr>
            <w:tcW w:type="dxa" w:w="3175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835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  <w:t>What would someone reading your work later conclude?</w:t>
            </w:r>
          </w:p>
        </w:tc>
        <w:tc>
          <w:tcPr>
            <w:tcW w:type="dxa" w:w="3628"/>
            <w:shd w:val="clear" w:color="auto" w:fill="F7F0FB"/>
          </w:tcPr>
          <w:p>
            <w:pPr>
              <w:keepNext w:val="0"/>
              <w:spacing w:before="60" w:after="60"/>
            </w:pPr>
            <w:r>
              <w:t>What your file note would show an owner, or a tribunal member, reading it later.</w:t>
            </w:r>
          </w:p>
        </w:tc>
        <w:tc>
          <w:tcPr>
            <w:tcW w:type="dxa" w:w="3175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835"/>
          </w:tcPr>
          <w:p>
            <w:pPr>
              <w:keepNext w:val="0"/>
              <w:spacing w:before="60" w:after="60"/>
            </w:pPr>
            <w:r>
              <w:rPr>
                <w:b/>
              </w:rPr>
              <w:t>What would you do differently next time?</w:t>
            </w:r>
          </w:p>
        </w:tc>
        <w:tc>
          <w:tcPr>
            <w:tcW w:type="dxa" w:w="3628"/>
          </w:tcPr>
          <w:p>
            <w:pPr>
              <w:keepNext w:val="0"/>
              <w:spacing w:before="60" w:after="60"/>
            </w:pPr>
            <w:r>
              <w:t>One thing, such as calling the owner earlier or wording the first reply differently.</w:t>
            </w:r>
          </w:p>
        </w:tc>
        <w:tc>
          <w:tcPr>
            <w:tcW w:type="dxa" w:w="3175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835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  <w:t>How does your work compare with the model?</w:t>
            </w:r>
          </w:p>
        </w:tc>
        <w:tc>
          <w:tcPr>
            <w:tcW w:type="dxa" w:w="3628"/>
            <w:shd w:val="clear" w:color="auto" w:fill="F7F0FB"/>
          </w:tcPr>
          <w:p>
            <w:pPr>
              <w:keepNext w:val="0"/>
              <w:spacing w:before="60" w:after="60"/>
            </w:pPr>
            <w:r>
              <w:t>Compare your file note with the senior property manager's model file note.</w:t>
            </w:r>
          </w:p>
        </w:tc>
        <w:tc>
          <w:tcPr>
            <w:tcW w:type="dxa" w:w="3175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3. Rating sheet for the learner's written work</w:t>
      </w:r>
    </w:p>
    <w:p>
      <w:pPr>
        <w:keepNext/>
        <w:pageBreakBefore w:val="0"/>
      </w:pPr>
      <w:r>
        <w:t>For the senior property manager, after the course or on a fresh repair dispute. Judge each criterion on its own and write the evidence from the learner's work. Do not add the ratings up: a strong reply to the tenant cannot make up for an authorisation outside the agency's limit.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Criterion</w:t>
            </w:r>
          </w:p>
        </w:tc>
        <w:tc>
          <w:tcPr>
            <w:tcW w:type="dxa" w:w="3628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What good looks like (example)</w:t>
            </w:r>
          </w:p>
        </w:tc>
        <w:tc>
          <w:tcPr>
            <w:tcW w:type="dxa" w:w="1247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Met / Not yet</w:t>
            </w:r>
          </w:p>
        </w:tc>
        <w:tc>
          <w:tcPr>
            <w:tcW w:type="dxa" w:w="2948"/>
            <w:shd w:val="clear" w:color="auto" w:fill="5D008F"/>
          </w:tcPr>
          <w:p>
            <w:pPr>
              <w:keepNext w:val="0"/>
              <w:spacing w:before="60" w:after="6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</w:rPr>
              <w:t>Evidence from the learner's work</w:t>
            </w:r>
          </w:p>
        </w:tc>
      </w:tr>
      <w:tr>
        <w:trPr>
          <w:cantSplit w:val="true"/>
          <w:trHeight w:val="1077"/>
        </w:trPr>
        <w:tc>
          <w:tcPr>
            <w:tcW w:type="dxa" w:w="1814"/>
          </w:tcPr>
          <w:p>
            <w:pPr>
              <w:keepNext w:val="0"/>
              <w:spacing w:before="60" w:after="60"/>
            </w:pPr>
            <w:r>
              <w:rPr>
                <w:b/>
              </w:rPr>
              <w:t>Reply to the tenant</w:t>
            </w:r>
          </w:p>
        </w:tc>
        <w:tc>
          <w:tcPr>
            <w:tcW w:type="dxa" w:w="3628"/>
          </w:tcPr>
          <w:p>
            <w:pPr>
              <w:keepNext w:val="0"/>
              <w:spacing w:before="60" w:after="60"/>
            </w:pPr>
            <w:r>
              <w:t>Acknowledges the problem, classifies it as urgent, says what happens today and asks for access. Does not lead with rent.</w:t>
            </w:r>
          </w:p>
        </w:tc>
        <w:tc>
          <w:tcPr>
            <w:tcW w:type="dxa" w:w="1247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1814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  <w:t>Repair decision</w:t>
            </w:r>
          </w:p>
        </w:tc>
        <w:tc>
          <w:tcPr>
            <w:tcW w:type="dxa" w:w="3628"/>
            <w:shd w:val="clear" w:color="auto" w:fill="F7F0FB"/>
          </w:tcPr>
          <w:p>
            <w:pPr>
              <w:keepNext w:val="0"/>
              <w:spacing w:before="60" w:after="60"/>
            </w:pPr>
            <w:r>
              <w:t>Authorises the $380 valve repair under the urgent repairs procedure, within the $500 limit. Does not approve the $1,650 tank.</w:t>
            </w:r>
          </w:p>
        </w:tc>
        <w:tc>
          <w:tcPr>
            <w:tcW w:type="dxa" w:w="1247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1814"/>
          </w:tcPr>
          <w:p>
            <w:pPr>
              <w:keepNext w:val="0"/>
              <w:spacing w:before="60" w:after="60"/>
            </w:pPr>
            <w:r>
              <w:rPr>
                <w:b/>
              </w:rPr>
              <w:t>Message to the owner</w:t>
            </w:r>
          </w:p>
        </w:tc>
        <w:tc>
          <w:tcPr>
            <w:tcW w:type="dxa" w:w="3628"/>
          </w:tcPr>
          <w:p>
            <w:pPr>
              <w:keepNext w:val="0"/>
              <w:spacing w:before="60" w:after="60"/>
            </w:pPr>
            <w:r>
              <w:t>Explains the urgent classification, the attempts to call, the limit used and the earlier unanswered quote request.</w:t>
            </w:r>
          </w:p>
        </w:tc>
        <w:tc>
          <w:tcPr>
            <w:tcW w:type="dxa" w:w="1247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1814"/>
            <w:shd w:val="clear" w:color="auto" w:fill="F7F0FB"/>
          </w:tcPr>
          <w:p>
            <w:pPr>
              <w:keepNext w:val="0"/>
              <w:spacing w:before="60" w:after="60"/>
            </w:pPr>
            <w:r>
              <w:rPr>
                <w:b/>
              </w:rPr>
              <w:t>File note</w:t>
            </w:r>
          </w:p>
        </w:tc>
        <w:tc>
          <w:tcPr>
            <w:tcW w:type="dxa" w:w="3628"/>
            <w:shd w:val="clear" w:color="auto" w:fill="F7F0FB"/>
          </w:tcPr>
          <w:p>
            <w:pPr>
              <w:keepNext w:val="0"/>
              <w:spacing w:before="60" w:after="60"/>
            </w:pPr>
            <w:r>
              <w:t>Records each decision with the time, the reason and the clause or limit that applied, so a later reader can follow it.</w:t>
            </w:r>
          </w:p>
        </w:tc>
        <w:tc>
          <w:tcPr>
            <w:tcW w:type="dxa" w:w="1247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keepNext w:val="0"/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1814"/>
          </w:tcPr>
          <w:p>
            <w:pPr>
              <w:keepNext w:val="0"/>
              <w:spacing w:before="60" w:after="60"/>
            </w:pPr>
            <w:r>
              <w:rPr>
                <w:b/>
              </w:rPr>
              <w:t>Escalation</w:t>
            </w:r>
          </w:p>
        </w:tc>
        <w:tc>
          <w:tcPr>
            <w:tcW w:type="dxa" w:w="3628"/>
          </w:tcPr>
          <w:p>
            <w:pPr>
              <w:keepNext w:val="0"/>
              <w:spacing w:before="60" w:after="60"/>
            </w:pPr>
            <w:r>
              <w:t>Knows when to bring in the senior property manager, such as a failed tank or a cost over the limit.</w:t>
            </w:r>
          </w:p>
        </w:tc>
        <w:tc>
          <w:tcPr>
            <w:tcW w:type="dxa" w:w="1247"/>
          </w:tcPr>
          <w:p>
            <w:pPr>
              <w:keepNext w:val="0"/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keepNext w:val="0"/>
              <w:spacing w:before="60" w:after="60"/>
            </w:pPr>
            <w:r/>
          </w:p>
        </w:tc>
      </w:tr>
    </w:tbl>
    <w:p>
      <w:pPr>
        <w:pageBreakBefore w:val="0"/>
        <w:spacing w:before="160"/>
      </w:pPr>
      <w:r>
        <w:t>What to practise next:</w:t>
      </w:r>
    </w:p>
    <w:p>
      <w:pPr>
        <w:pageBreakBefore w:val="0"/>
        <w:spacing w:before="160"/>
      </w:pPr>
      <w:r>
        <w:t>Rated by:                                              Date:</w:t>
      </w:r>
    </w:p>
    <w:p>
      <w:pPr>
        <w:pageBreakBefore w:val="0"/>
        <w:spacing w:before="160"/>
      </w:pPr>
      <w:r>
        <w:rPr>
          <w:i/>
          <w:color w:val="5A5766"/>
        </w:rPr>
        <w:t>Drawing on Clark, R. C. (2013) Scenario-Based e-Learning, Pfeiffer, chapter 8 on feedback and reflection, and Chernikova, O. et al. (2020) Review of Educational Research 90(4). The map, questions, criteria and example are Coursebox's own. This sheet is not a validated instrument, gives no total score and does not certify competence; in the example, authority stays within the management agreement.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