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Cognitive Design Plan</w:t>
      </w:r>
    </w:p>
    <w:p>
      <w:r>
        <w:rPr>
          <w:color w:val="5A5766"/>
          <w:sz w:val="22"/>
        </w:rPr>
        <w:t>A planning sheet for 11 moves from cognitive learning theory: what each move does, the research it comes from, a prompt for your course and where it goes. It is a Coursebox planning aid built from the research cited in the article, not a validated instrument, and it gives no score. A hypothetical insurance renewal course is filled in as an example.</w:t>
      </w:r>
    </w:p>
    <w:p>
      <w:r>
        <w:rPr>
          <w:i/>
          <w:color w:val="5A5766"/>
          <w:sz w:val="18"/>
        </w:rPr>
        <w:t>From the Coursebox blog: coursebox.ai/blog/cognitive-learning-theory-examples</w:t>
      </w:r>
    </w:p>
    <w:p>
      <w:pPr>
        <w:keepNext/>
        <w:spacing w:before="240" w:after="80"/>
      </w:pPr>
      <w:r>
        <w:rPr>
          <w:b/>
          <w:color w:val="5D008F"/>
          <w:sz w:val="28"/>
        </w:rPr>
        <w:t>How to use this plan</w:t>
      </w:r>
    </w:p>
    <w:p>
      <w:pPr>
        <w:pStyle w:val="ListBullet"/>
      </w:pPr>
      <w:r>
        <w:t>Pick one course where learners must remember a procedure or a body of knowledge for weeks or months, such as an induction module or a process course.</w:t>
      </w:r>
    </w:p>
    <w:p>
      <w:pPr>
        <w:pStyle w:val="ListBullet"/>
      </w:pPr>
      <w:r>
        <w:t>Write down how long they need to remember it. Use the intended retention period to propose review gaps, then adjust them from delayed performance.</w:t>
      </w:r>
    </w:p>
    <w:p>
      <w:pPr>
        <w:pStyle w:val="ListBullet"/>
      </w:pPr>
      <w:r>
        <w:t>Work down the 11 moves. For each, answer the prompt for your own course and write where in the course it goes. Leave a move out if it does not fit, and note why.</w:t>
      </w:r>
    </w:p>
    <w:p>
      <w:pPr>
        <w:pStyle w:val="ListBullet"/>
      </w:pPr>
      <w:r>
        <w:t>Put every decision into the course brief or plan in plain words, such as which earlier items each check should bring back. Moves that are not written down tend to drop out in the build.</w:t>
      </w:r>
    </w:p>
    <w:p>
      <w:pPr>
        <w:pStyle w:val="ListBullet"/>
      </w:pPr>
      <w:r>
        <w:t>After the course runs, compare the delayed review results with the end-of-course check before deciding the design works.</w:t>
      </w:r>
    </w:p>
    <w:p>
      <w:pPr>
        <w:keepNext/>
        <w:spacing w:before="240" w:after="80"/>
      </w:pPr>
      <w:r>
        <w:rPr>
          <w:b/>
          <w:color w:val="5D008F"/>
          <w:sz w:val="28"/>
        </w:rPr>
        <w:t>Worked example: the insurance renewal course</w:t>
      </w:r>
    </w:p>
    <w:p>
      <w:r>
        <w:t>Hypothetical example. A mid-size commercial insurance broker in an Australian city with about 3,000 small-business clients. Six new account managers, some from claims handling or personal-lines sales at other firms and some from the broker's support team, learn to run a small-business renewal with the broker's own 12-point checklist in three groups: before the review (items 1 to 4), at the review (5 to 8), and placing and confirming (9 to 12). Clients: a panel beater (worked example: $85,000 spray booth not on the schedule, verified existing plant $240,000 plus the booth’s installed replacement value $85,000, totalling $325,000, liability $10 million to $20 million), a dental practice (practice: second chair, $60,000, part-time hygienist) and an electrical contractor (transfer: $20 million liability, head contractor noted, two subcontractors). All figures are illustrative; the checklist is the broker's own, not an industry standard or legal advice.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701"/>
            <w:shd w:val="clear" w:color="auto" w:fill="5D008F"/>
          </w:tcPr>
          <w:p>
            <w:pPr>
              <w:spacing w:before="60" w:after="60"/>
            </w:pPr>
            <w:r>
              <w:rPr>
                <w:color w:val="FFFFFF"/>
              </w:rPr>
            </w:r>
            <w:r>
              <w:rPr>
                <w:b/>
                <w:color w:val="FFFFFF"/>
              </w:rPr>
              <w:t>Move</w:t>
            </w:r>
          </w:p>
        </w:tc>
        <w:tc>
          <w:tcPr>
            <w:tcW w:type="dxa" w:w="2721"/>
            <w:shd w:val="clear" w:color="auto" w:fill="5D008F"/>
          </w:tcPr>
          <w:p>
            <w:pPr>
              <w:spacing w:before="60" w:after="60"/>
            </w:pPr>
            <w:r>
              <w:rPr>
                <w:color w:val="FFFFFF"/>
              </w:rPr>
            </w:r>
            <w:r>
              <w:rPr>
                <w:b/>
                <w:color w:val="FFFFFF"/>
              </w:rPr>
              <w:t>What it does and where it comes from</w:t>
            </w:r>
          </w:p>
        </w:tc>
        <w:tc>
          <w:tcPr>
            <w:tcW w:type="dxa" w:w="2211"/>
            <w:shd w:val="clear" w:color="auto" w:fill="5D008F"/>
          </w:tcPr>
          <w:p>
            <w:pPr>
              <w:spacing w:before="60" w:after="60"/>
            </w:pPr>
            <w:r>
              <w:rPr>
                <w:color w:val="FFFFFF"/>
              </w:rPr>
            </w:r>
            <w:r>
              <w:rPr>
                <w:b/>
                <w:color w:val="FFFFFF"/>
              </w:rPr>
              <w:t>Prompt for your course</w:t>
            </w:r>
          </w:p>
        </w:tc>
        <w:tc>
          <w:tcPr>
            <w:tcW w:type="dxa" w:w="3005"/>
            <w:shd w:val="clear" w:color="auto" w:fill="5D008F"/>
          </w:tcPr>
          <w:p>
            <w:pPr>
              <w:spacing w:before="60" w:after="60"/>
            </w:pPr>
            <w:r>
              <w:rPr>
                <w:color w:val="FFFFFF"/>
              </w:rPr>
            </w:r>
            <w:r>
              <w:rPr>
                <w:b/>
                <w:color w:val="FFFFFF"/>
              </w:rPr>
              <w:t>In the renewal course</w:t>
            </w:r>
          </w:p>
        </w:tc>
      </w:tr>
      <w:tr>
        <w:trPr>
          <w:cantSplit w:val="true"/>
        </w:trPr>
        <w:tc>
          <w:tcPr>
            <w:tcW w:type="dxa" w:w="1701"/>
          </w:tcPr>
          <w:p>
            <w:pPr>
              <w:spacing w:before="60" w:after="60"/>
            </w:pPr>
            <w:r>
              <w:rPr>
                <w:b/>
              </w:rPr>
              <w:t>1. Question before the content</w:t>
            </w:r>
          </w:p>
        </w:tc>
        <w:tc>
          <w:tcPr>
            <w:tcW w:type="dxa" w:w="2721"/>
          </w:tcPr>
          <w:p>
            <w:pPr>
              <w:spacing w:before="60" w:after="60"/>
            </w:pPr>
            <w:r>
              <w:t>Prequestions can help the questioned points (Richland et al. 2009; St. Hilaire et al. 2024)</w:t>
            </w:r>
          </w:p>
        </w:tc>
        <w:tc>
          <w:tcPr>
            <w:tcW w:type="dxa" w:w="2211"/>
          </w:tcPr>
          <w:p>
            <w:pPr>
              <w:spacing w:before="60" w:after="60"/>
            </w:pPr>
            <w:r>
              <w:t>What open question could learners answer before any teaching?</w:t>
            </w:r>
          </w:p>
        </w:tc>
        <w:tc>
          <w:tcPr>
            <w:tcW w:type="dxa" w:w="3005"/>
          </w:tcPr>
          <w:p>
            <w:pPr>
              <w:spacing w:before="60" w:after="60"/>
            </w:pPr>
            <w:r>
              <w:t>Opening section: "A client's renewal is due in 30 days. What would you check first, and why?" Open text, not marked.</w:t>
            </w:r>
          </w:p>
        </w:tc>
      </w:tr>
      <w:tr>
        <w:trPr>
          <w:cantSplit w:val="true"/>
        </w:trPr>
        <w:tc>
          <w:tcPr>
            <w:tcW w:type="dxa" w:w="1701"/>
            <w:shd w:val="clear" w:color="auto" w:fill="F7F0FB"/>
          </w:tcPr>
          <w:p>
            <w:pPr>
              <w:spacing w:before="60" w:after="60"/>
            </w:pPr>
            <w:r>
              <w:rPr>
                <w:b/>
              </w:rPr>
              <w:t>2. Advance organiser</w:t>
            </w:r>
          </w:p>
        </w:tc>
        <w:tc>
          <w:tcPr>
            <w:tcW w:type="dxa" w:w="2721"/>
            <w:shd w:val="clear" w:color="auto" w:fill="F7F0FB"/>
          </w:tcPr>
          <w:p>
            <w:pPr>
              <w:spacing w:before="60" w:after="60"/>
            </w:pPr>
            <w:r>
              <w:t>Gives new detail a structure to attach to (Ausubel; Ertmer and Newby 2013)</w:t>
            </w:r>
          </w:p>
        </w:tc>
        <w:tc>
          <w:tcPr>
            <w:tcW w:type="dxa" w:w="2211"/>
            <w:shd w:val="clear" w:color="auto" w:fill="F7F0FB"/>
          </w:tcPr>
          <w:p>
            <w:pPr>
              <w:spacing w:before="60" w:after="60"/>
            </w:pPr>
            <w:r>
              <w:t>What one-screen overview shows the whole task before the detail?</w:t>
            </w:r>
          </w:p>
        </w:tc>
        <w:tc>
          <w:tcPr>
            <w:tcW w:type="dxa" w:w="3005"/>
            <w:shd w:val="clear" w:color="auto" w:fill="F7F0FB"/>
          </w:tcPr>
          <w:p>
            <w:pPr>
              <w:spacing w:before="60" w:after="60"/>
            </w:pPr>
            <w:r>
              <w:t>The renewal timeline (30 days out, review, placing, expiry) with the three groups named.</w:t>
            </w:r>
          </w:p>
        </w:tc>
      </w:tr>
      <w:tr>
        <w:trPr>
          <w:cantSplit w:val="true"/>
        </w:trPr>
        <w:tc>
          <w:tcPr>
            <w:tcW w:type="dxa" w:w="1701"/>
          </w:tcPr>
          <w:p>
            <w:pPr>
              <w:spacing w:before="60" w:after="60"/>
            </w:pPr>
            <w:r>
              <w:rPr>
                <w:b/>
              </w:rPr>
              <w:t>3. Chunking</w:t>
            </w:r>
          </w:p>
        </w:tc>
        <w:tc>
          <w:tcPr>
            <w:tcW w:type="dxa" w:w="2721"/>
          </w:tcPr>
          <w:p>
            <w:pPr>
              <w:spacing w:before="60" w:after="60"/>
            </w:pPr>
            <w:r>
              <w:t>Capacity depends on task and familiarity (Cowan 2010)</w:t>
            </w:r>
          </w:p>
        </w:tc>
        <w:tc>
          <w:tcPr>
            <w:tcW w:type="dxa" w:w="2211"/>
          </w:tcPr>
          <w:p>
            <w:pPr>
              <w:spacing w:before="60" w:after="60"/>
            </w:pPr>
            <w:r>
              <w:t>How can the content be split into a few named groups?</w:t>
            </w:r>
          </w:p>
        </w:tc>
        <w:tc>
          <w:tcPr>
            <w:tcW w:type="dxa" w:w="3005"/>
          </w:tcPr>
          <w:p>
            <w:pPr>
              <w:spacing w:before="60" w:after="60"/>
            </w:pPr>
            <w:r>
              <w:t>12 items taught as three groups of four, one section each.</w:t>
            </w:r>
          </w:p>
        </w:tc>
      </w:tr>
      <w:tr>
        <w:trPr>
          <w:cantSplit w:val="true"/>
        </w:trPr>
        <w:tc>
          <w:tcPr>
            <w:tcW w:type="dxa" w:w="1701"/>
            <w:shd w:val="clear" w:color="auto" w:fill="F7F0FB"/>
          </w:tcPr>
          <w:p>
            <w:pPr>
              <w:spacing w:before="60" w:after="60"/>
            </w:pPr>
            <w:r>
              <w:rPr>
                <w:b/>
              </w:rPr>
              <w:t>4. Worked example, then fading</w:t>
            </w:r>
          </w:p>
        </w:tc>
        <w:tc>
          <w:tcPr>
            <w:tcW w:type="dxa" w:w="2721"/>
            <w:shd w:val="clear" w:color="auto" w:fill="F7F0FB"/>
          </w:tcPr>
          <w:p>
            <w:pPr>
              <w:spacing w:before="60" w:after="60"/>
            </w:pPr>
            <w:r>
              <w:t>Worked solutions can support novices; fade help with skill (Sweller et al. 2019)</w:t>
            </w:r>
          </w:p>
        </w:tc>
        <w:tc>
          <w:tcPr>
            <w:tcW w:type="dxa" w:w="2211"/>
            <w:shd w:val="clear" w:color="auto" w:fill="F7F0FB"/>
          </w:tcPr>
          <w:p>
            <w:pPr>
              <w:spacing w:before="60" w:after="60"/>
            </w:pPr>
            <w:r>
              <w:t>Which case will an expert walk through, and how will help fade?</w:t>
            </w:r>
          </w:p>
        </w:tc>
        <w:tc>
          <w:tcPr>
            <w:tcW w:type="dxa" w:w="3005"/>
            <w:shd w:val="clear" w:color="auto" w:fill="F7F0FB"/>
          </w:tcPr>
          <w:p>
            <w:pPr>
              <w:spacing w:before="60" w:after="60"/>
            </w:pPr>
            <w:r>
              <w:t>Senior account manager walks the panel beater; support faded with performance; current checklist retained for the new electrical-contractor case.</w:t>
            </w:r>
          </w:p>
        </w:tc>
      </w:tr>
      <w:tr>
        <w:trPr>
          <w:cantSplit w:val="true"/>
        </w:trPr>
        <w:tc>
          <w:tcPr>
            <w:tcW w:type="dxa" w:w="1701"/>
          </w:tcPr>
          <w:p>
            <w:pPr>
              <w:spacing w:before="60" w:after="60"/>
            </w:pPr>
            <w:r>
              <w:rPr>
                <w:b/>
              </w:rPr>
              <w:t>5. Words beside a diagram</w:t>
            </w:r>
          </w:p>
        </w:tc>
        <w:tc>
          <w:tcPr>
            <w:tcW w:type="dxa" w:w="2721"/>
          </w:tcPr>
          <w:p>
            <w:pPr>
              <w:spacing w:before="60" w:after="60"/>
            </w:pPr>
            <w:r>
              <w:t>Mayer proposes dual channels and limited capacity; printed text and pictures both enter visually</w:t>
            </w:r>
          </w:p>
        </w:tc>
        <w:tc>
          <w:tcPr>
            <w:tcW w:type="dxa" w:w="2211"/>
          </w:tcPr>
          <w:p>
            <w:pPr>
              <w:spacing w:before="60" w:after="60"/>
            </w:pPr>
            <w:r>
              <w:t>Which diagram needs short labels with brief text beside it?</w:t>
            </w:r>
          </w:p>
        </w:tc>
        <w:tc>
          <w:tcPr>
            <w:tcW w:type="dxa" w:w="3005"/>
          </w:tcPr>
          <w:p>
            <w:pPr>
              <w:spacing w:before="60" w:after="60"/>
            </w:pPr>
            <w:r>
              <w:t>Timeline with short labels and useful explanation; retain accessible text and essential repetition.</w:t>
            </w:r>
          </w:p>
        </w:tc>
      </w:tr>
      <w:tr>
        <w:trPr>
          <w:cantSplit w:val="true"/>
        </w:trPr>
        <w:tc>
          <w:tcPr>
            <w:tcW w:type="dxa" w:w="1701"/>
            <w:shd w:val="clear" w:color="auto" w:fill="F7F0FB"/>
          </w:tcPr>
          <w:p>
            <w:pPr>
              <w:spacing w:before="60" w:after="60"/>
            </w:pPr>
            <w:r>
              <w:rPr>
                <w:b/>
              </w:rPr>
              <w:t>6. Recall from memory</w:t>
            </w:r>
          </w:p>
        </w:tc>
        <w:tc>
          <w:tcPr>
            <w:tcW w:type="dxa" w:w="2721"/>
            <w:shd w:val="clear" w:color="auto" w:fill="F7F0FB"/>
          </w:tcPr>
          <w:p>
            <w:pPr>
              <w:spacing w:before="60" w:after="60"/>
            </w:pPr>
            <w:r>
              <w:t>Recall strengthens memory more than rereading at a delay (Roediger and Karpicke 2006)</w:t>
            </w:r>
          </w:p>
        </w:tc>
        <w:tc>
          <w:tcPr>
            <w:tcW w:type="dxa" w:w="2211"/>
            <w:shd w:val="clear" w:color="auto" w:fill="F7F0FB"/>
          </w:tcPr>
          <w:p>
            <w:pPr>
              <w:spacing w:before="60" w:after="60"/>
            </w:pPr>
            <w:r>
              <w:t>Where will learners produce the answer before they see it?</w:t>
            </w:r>
          </w:p>
        </w:tc>
        <w:tc>
          <w:tcPr>
            <w:tcW w:type="dxa" w:w="3005"/>
            <w:shd w:val="clear" w:color="auto" w:fill="F7F0FB"/>
          </w:tcPr>
          <w:p>
            <w:pPr>
              <w:spacing w:before="60" w:after="60"/>
            </w:pPr>
            <w:r>
              <w:t>After each group, learners type the four items from memory, then compare.</w:t>
            </w:r>
          </w:p>
        </w:tc>
      </w:tr>
      <w:tr>
        <w:trPr>
          <w:cantSplit w:val="true"/>
        </w:trPr>
        <w:tc>
          <w:tcPr>
            <w:tcW w:type="dxa" w:w="1701"/>
          </w:tcPr>
          <w:p>
            <w:pPr>
              <w:spacing w:before="60" w:after="60"/>
            </w:pPr>
            <w:r>
              <w:rPr>
                <w:b/>
              </w:rPr>
              <w:t>7. Spaced recall</w:t>
            </w:r>
          </w:p>
        </w:tc>
        <w:tc>
          <w:tcPr>
            <w:tcW w:type="dxa" w:w="2721"/>
          </w:tcPr>
          <w:p>
            <w:pPr>
              <w:spacing w:before="60" w:after="60"/>
            </w:pPr>
            <w:r>
              <w:t>Gaps support delayed recall; test the schedule (Cepeda et al. 2006, 2008)</w:t>
            </w:r>
          </w:p>
        </w:tc>
        <w:tc>
          <w:tcPr>
            <w:tcW w:type="dxa" w:w="2211"/>
          </w:tcPr>
          <w:p>
            <w:pPr>
              <w:spacing w:before="60" w:after="60"/>
            </w:pPr>
            <w:r>
              <w:t>Which earlier items does each later check bring back, and when is the delayed review?</w:t>
            </w:r>
          </w:p>
        </w:tc>
        <w:tc>
          <w:tcPr>
            <w:tcW w:type="dxa" w:w="3005"/>
          </w:tcPr>
          <w:p>
            <w:pPr>
              <w:spacing w:before="60" w:after="60"/>
            </w:pPr>
            <w:r>
              <w:t>Group 2 check asks about group 1; group 3 check about groups 1 and 2; mixed reviews one and three weeks after the course.</w:t>
            </w:r>
          </w:p>
        </w:tc>
      </w:tr>
      <w:tr>
        <w:trPr>
          <w:cantSplit w:val="true"/>
        </w:trPr>
        <w:tc>
          <w:tcPr>
            <w:tcW w:type="dxa" w:w="1701"/>
            <w:shd w:val="clear" w:color="auto" w:fill="F7F0FB"/>
          </w:tcPr>
          <w:p>
            <w:pPr>
              <w:spacing w:before="60" w:after="60"/>
            </w:pPr>
            <w:r>
              <w:rPr>
                <w:b/>
              </w:rPr>
              <w:t>8. Mixed practice</w:t>
            </w:r>
          </w:p>
        </w:tc>
        <w:tc>
          <w:tcPr>
            <w:tcW w:type="dxa" w:w="2721"/>
            <w:shd w:val="clear" w:color="auto" w:fill="F7F0FB"/>
          </w:tcPr>
          <w:p>
            <w:pPr>
              <w:spacing w:before="60" w:after="60"/>
            </w:pPr>
            <w:r>
              <w:t>Mixing problem types makes learners choose the approach (Dunlosky and colleagues 2013, moderate utility)</w:t>
            </w:r>
          </w:p>
        </w:tc>
        <w:tc>
          <w:tcPr>
            <w:tcW w:type="dxa" w:w="2211"/>
            <w:shd w:val="clear" w:color="auto" w:fill="F7F0FB"/>
          </w:tcPr>
          <w:p>
            <w:pPr>
              <w:spacing w:before="60" w:after="60"/>
            </w:pPr>
            <w:r>
              <w:t>What mixed set makes learners decide which step applies?</w:t>
            </w:r>
          </w:p>
        </w:tc>
        <w:tc>
          <w:tcPr>
            <w:tcW w:type="dxa" w:w="3005"/>
            <w:shd w:val="clear" w:color="auto" w:fill="F7F0FB"/>
          </w:tcPr>
          <w:p>
            <w:pPr>
              <w:spacing w:before="60" w:after="60"/>
            </w:pPr>
            <w:r>
              <w:t>Three client changes in random order: a new site, a new subcontractor, a claim last month.</w:t>
            </w:r>
          </w:p>
        </w:tc>
      </w:tr>
      <w:tr>
        <w:trPr>
          <w:cantSplit w:val="true"/>
        </w:trPr>
        <w:tc>
          <w:tcPr>
            <w:tcW w:type="dxa" w:w="1701"/>
          </w:tcPr>
          <w:p>
            <w:pPr>
              <w:spacing w:before="60" w:after="60"/>
            </w:pPr>
            <w:r>
              <w:rPr>
                <w:b/>
              </w:rPr>
              <w:t>9. Why question</w:t>
            </w:r>
          </w:p>
        </w:tc>
        <w:tc>
          <w:tcPr>
            <w:tcW w:type="dxa" w:w="2721"/>
          </w:tcPr>
          <w:p>
            <w:pPr>
              <w:spacing w:before="60" w:after="60"/>
            </w:pPr>
            <w:r>
              <w:t>Explaining reasons links new knowledge to old (Dunlosky and colleagues 2013, moderate utility)</w:t>
            </w:r>
          </w:p>
        </w:tc>
        <w:tc>
          <w:tcPr>
            <w:tcW w:type="dxa" w:w="2211"/>
          </w:tcPr>
          <w:p>
            <w:pPr>
              <w:spacing w:before="60" w:after="60"/>
            </w:pPr>
            <w:r>
              <w:t>Which step needs learners to explain why it exists?</w:t>
            </w:r>
          </w:p>
        </w:tc>
        <w:tc>
          <w:tcPr>
            <w:tcW w:type="dxa" w:w="3005"/>
          </w:tcPr>
          <w:p>
            <w:pPr>
              <w:spacing w:before="60" w:after="60"/>
            </w:pPr>
            <w:r>
              <w:t>"Why does the checklist ask about new equipment before the sums insured?" Open text, then a model answer.</w:t>
            </w:r>
          </w:p>
        </w:tc>
      </w:tr>
      <w:tr>
        <w:trPr>
          <w:cantSplit w:val="true"/>
        </w:trPr>
        <w:tc>
          <w:tcPr>
            <w:tcW w:type="dxa" w:w="1701"/>
            <w:shd w:val="clear" w:color="auto" w:fill="F7F0FB"/>
          </w:tcPr>
          <w:p>
            <w:pPr>
              <w:spacing w:before="60" w:after="60"/>
            </w:pPr>
            <w:r>
              <w:rPr>
                <w:b/>
              </w:rPr>
              <w:t>10. Confidence check</w:t>
            </w:r>
          </w:p>
        </w:tc>
        <w:tc>
          <w:tcPr>
            <w:tcW w:type="dxa" w:w="2721"/>
            <w:shd w:val="clear" w:color="auto" w:fill="F7F0FB"/>
          </w:tcPr>
          <w:p>
            <w:pPr>
              <w:spacing w:before="60" w:after="60"/>
            </w:pPr>
            <w:r>
              <w:t>Compare confidence with performance (Flavell 1979; Kornell and Bjork 2008)</w:t>
            </w:r>
          </w:p>
        </w:tc>
        <w:tc>
          <w:tcPr>
            <w:tcW w:type="dxa" w:w="2211"/>
            <w:shd w:val="clear" w:color="auto" w:fill="F7F0FB"/>
          </w:tcPr>
          <w:p>
            <w:pPr>
              <w:spacing w:before="60" w:after="60"/>
            </w:pPr>
            <w:r>
              <w:t>Where do learners say how sure they are before seeing the answer?</w:t>
            </w:r>
          </w:p>
        </w:tc>
        <w:tc>
          <w:tcPr>
            <w:tcW w:type="dxa" w:w="3005"/>
            <w:shd w:val="clear" w:color="auto" w:fill="F7F0FB"/>
          </w:tcPr>
          <w:p>
            <w:pPr>
              <w:spacing w:before="60" w:after="60"/>
            </w:pPr>
            <w:r>
              <w:t>"How sure are you? (sure / unsure / guessing)" before every answer; end-of-course self-check.</w:t>
            </w:r>
          </w:p>
        </w:tc>
      </w:tr>
      <w:tr>
        <w:trPr>
          <w:cantSplit w:val="true"/>
        </w:trPr>
        <w:tc>
          <w:tcPr>
            <w:tcW w:type="dxa" w:w="1701"/>
          </w:tcPr>
          <w:p>
            <w:pPr>
              <w:spacing w:before="60" w:after="60"/>
            </w:pPr>
            <w:r>
              <w:rPr>
                <w:b/>
              </w:rPr>
              <w:t>11. Explained feedback and transfer</w:t>
            </w:r>
          </w:p>
        </w:tc>
        <w:tc>
          <w:tcPr>
            <w:tcW w:type="dxa" w:w="2721"/>
          </w:tcPr>
          <w:p>
            <w:pPr>
              <w:spacing w:before="60" w:after="60"/>
            </w:pPr>
            <w:r>
              <w:t>Explained feedback and a new case assess application (Ertmer and Newby 2013)</w:t>
            </w:r>
          </w:p>
        </w:tc>
        <w:tc>
          <w:tcPr>
            <w:tcW w:type="dxa" w:w="2211"/>
          </w:tcPr>
          <w:p>
            <w:pPr>
              <w:spacing w:before="60" w:after="60"/>
            </w:pPr>
            <w:r>
              <w:t>What feedback names the reason, and what new case ends the course?</w:t>
            </w:r>
          </w:p>
        </w:tc>
        <w:tc>
          <w:tcPr>
            <w:tcW w:type="dxa" w:w="3005"/>
          </w:tcPr>
          <w:p>
            <w:pPr>
              <w:spacing w:before="60" w:after="60"/>
            </w:pPr>
            <w:r>
              <w:t>Feedback names the item and reason; electrical contractor with the current checklist and no unsolicited hints; written file note, then a model.</w:t>
            </w:r>
          </w:p>
        </w:tc>
      </w:tr>
    </w:tbl>
    <w:p>
      <w:pPr>
        <w:keepNext/>
        <w:pageBreakBefore/>
        <w:spacing w:before="240" w:after="80"/>
      </w:pPr>
      <w:r>
        <w:rPr>
          <w:b/>
          <w:color w:val="5D008F"/>
          <w:sz w:val="28"/>
        </w:rPr>
        <w:t>Your cognitive design plan</w:t>
      </w:r>
    </w:p>
    <w:p>
      <w:r>
        <w:t>Course: ____________________________   Learners: ____________________________</w:t>
      </w:r>
    </w:p>
    <w:p>
      <w:r>
        <w:t>How long must they remember it? ______________________   Delayed reviews: ______________________</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041"/>
            <w:shd w:val="clear" w:color="auto" w:fill="5D008F"/>
          </w:tcPr>
          <w:p>
            <w:pPr>
              <w:spacing w:before="60" w:after="60"/>
            </w:pPr>
            <w:r>
              <w:rPr>
                <w:color w:val="FFFFFF"/>
              </w:rPr>
            </w:r>
            <w:r>
              <w:rPr>
                <w:b/>
                <w:color w:val="FFFFFF"/>
              </w:rPr>
              <w:t>Move</w:t>
            </w:r>
          </w:p>
        </w:tc>
        <w:tc>
          <w:tcPr>
            <w:tcW w:type="dxa" w:w="2948"/>
            <w:shd w:val="clear" w:color="auto" w:fill="5D008F"/>
          </w:tcPr>
          <w:p>
            <w:pPr>
              <w:spacing w:before="60" w:after="60"/>
            </w:pPr>
            <w:r>
              <w:rPr>
                <w:color w:val="FFFFFF"/>
              </w:rPr>
            </w:r>
            <w:r>
              <w:rPr>
                <w:b/>
                <w:color w:val="FFFFFF"/>
              </w:rPr>
              <w:t>Prompt for your course</w:t>
            </w:r>
          </w:p>
        </w:tc>
        <w:tc>
          <w:tcPr>
            <w:tcW w:type="dxa" w:w="4649"/>
            <w:shd w:val="clear" w:color="auto" w:fill="5D008F"/>
          </w:tcPr>
          <w:p>
            <w:pPr>
              <w:spacing w:before="60" w:after="60"/>
            </w:pPr>
            <w:r>
              <w:rPr>
                <w:color w:val="FFFFFF"/>
              </w:rPr>
            </w:r>
            <w:r>
              <w:rPr>
                <w:b/>
                <w:color w:val="FFFFFF"/>
              </w:rPr>
              <w:t>Your answer and where it goes in the course</w:t>
            </w:r>
          </w:p>
        </w:tc>
      </w:tr>
      <w:tr>
        <w:trPr>
          <w:cantSplit w:val="true"/>
          <w:trHeight w:val="850"/>
        </w:trPr>
        <w:tc>
          <w:tcPr>
            <w:tcW w:type="dxa" w:w="2041"/>
          </w:tcPr>
          <w:p>
            <w:pPr>
              <w:spacing w:before="60" w:after="60"/>
            </w:pPr>
            <w:r>
              <w:rPr>
                <w:b/>
              </w:rPr>
              <w:t>1. Question before the content</w:t>
            </w:r>
          </w:p>
        </w:tc>
        <w:tc>
          <w:tcPr>
            <w:tcW w:type="dxa" w:w="2948"/>
          </w:tcPr>
          <w:p>
            <w:pPr>
              <w:spacing w:before="60" w:after="60"/>
            </w:pPr>
            <w:r>
              <w:t>What open question could learners answer before any teaching?</w:t>
            </w:r>
          </w:p>
        </w:tc>
        <w:tc>
          <w:tcPr>
            <w:tcW w:type="dxa" w:w="4649"/>
          </w:tcPr>
          <w:p>
            <w:pPr>
              <w:spacing w:before="60" w:after="60"/>
            </w:pPr>
            <w:r/>
          </w:p>
        </w:tc>
      </w:tr>
      <w:tr>
        <w:trPr>
          <w:cantSplit w:val="true"/>
          <w:trHeight w:val="850"/>
        </w:trPr>
        <w:tc>
          <w:tcPr>
            <w:tcW w:type="dxa" w:w="2041"/>
            <w:shd w:val="clear" w:color="auto" w:fill="F7F0FB"/>
          </w:tcPr>
          <w:p>
            <w:pPr>
              <w:spacing w:before="60" w:after="60"/>
            </w:pPr>
            <w:r>
              <w:rPr>
                <w:b/>
              </w:rPr>
              <w:t>2. Advance organiser</w:t>
            </w:r>
          </w:p>
        </w:tc>
        <w:tc>
          <w:tcPr>
            <w:tcW w:type="dxa" w:w="2948"/>
            <w:shd w:val="clear" w:color="auto" w:fill="F7F0FB"/>
          </w:tcPr>
          <w:p>
            <w:pPr>
              <w:spacing w:before="60" w:after="60"/>
            </w:pPr>
            <w:r>
              <w:t>What one-screen overview shows the whole task before the detail?</w:t>
            </w:r>
          </w:p>
        </w:tc>
        <w:tc>
          <w:tcPr>
            <w:tcW w:type="dxa" w:w="4649"/>
            <w:shd w:val="clear" w:color="auto" w:fill="F7F0FB"/>
          </w:tcPr>
          <w:p>
            <w:pPr>
              <w:spacing w:before="60" w:after="60"/>
            </w:pPr>
            <w:r/>
          </w:p>
        </w:tc>
      </w:tr>
      <w:tr>
        <w:trPr>
          <w:cantSplit w:val="true"/>
          <w:trHeight w:val="850"/>
        </w:trPr>
        <w:tc>
          <w:tcPr>
            <w:tcW w:type="dxa" w:w="2041"/>
          </w:tcPr>
          <w:p>
            <w:pPr>
              <w:spacing w:before="60" w:after="60"/>
            </w:pPr>
            <w:r>
              <w:rPr>
                <w:b/>
              </w:rPr>
              <w:t>3. Chunking</w:t>
            </w:r>
          </w:p>
        </w:tc>
        <w:tc>
          <w:tcPr>
            <w:tcW w:type="dxa" w:w="2948"/>
          </w:tcPr>
          <w:p>
            <w:pPr>
              <w:spacing w:before="60" w:after="60"/>
            </w:pPr>
            <w:r>
              <w:t>How can the content be split into a few named groups?</w:t>
            </w:r>
          </w:p>
        </w:tc>
        <w:tc>
          <w:tcPr>
            <w:tcW w:type="dxa" w:w="4649"/>
          </w:tcPr>
          <w:p>
            <w:pPr>
              <w:spacing w:before="60" w:after="60"/>
            </w:pPr>
            <w:r/>
          </w:p>
        </w:tc>
      </w:tr>
      <w:tr>
        <w:trPr>
          <w:cantSplit w:val="true"/>
          <w:trHeight w:val="850"/>
        </w:trPr>
        <w:tc>
          <w:tcPr>
            <w:tcW w:type="dxa" w:w="2041"/>
            <w:shd w:val="clear" w:color="auto" w:fill="F7F0FB"/>
          </w:tcPr>
          <w:p>
            <w:pPr>
              <w:spacing w:before="60" w:after="60"/>
            </w:pPr>
            <w:r>
              <w:rPr>
                <w:b/>
              </w:rPr>
              <w:t>4. Worked example, then fading</w:t>
            </w:r>
          </w:p>
        </w:tc>
        <w:tc>
          <w:tcPr>
            <w:tcW w:type="dxa" w:w="2948"/>
            <w:shd w:val="clear" w:color="auto" w:fill="F7F0FB"/>
          </w:tcPr>
          <w:p>
            <w:pPr>
              <w:spacing w:before="60" w:after="60"/>
            </w:pPr>
            <w:r>
              <w:t>Which case will an expert walk through, and how will help fade?</w:t>
            </w:r>
          </w:p>
        </w:tc>
        <w:tc>
          <w:tcPr>
            <w:tcW w:type="dxa" w:w="4649"/>
            <w:shd w:val="clear" w:color="auto" w:fill="F7F0FB"/>
          </w:tcPr>
          <w:p>
            <w:pPr>
              <w:spacing w:before="60" w:after="60"/>
            </w:pPr>
            <w:r/>
          </w:p>
        </w:tc>
      </w:tr>
      <w:tr>
        <w:trPr>
          <w:cantSplit w:val="true"/>
          <w:trHeight w:val="850"/>
        </w:trPr>
        <w:tc>
          <w:tcPr>
            <w:tcW w:type="dxa" w:w="2041"/>
          </w:tcPr>
          <w:p>
            <w:pPr>
              <w:spacing w:before="60" w:after="60"/>
            </w:pPr>
            <w:r>
              <w:rPr>
                <w:b/>
              </w:rPr>
              <w:t>5. Words beside a diagram</w:t>
            </w:r>
          </w:p>
        </w:tc>
        <w:tc>
          <w:tcPr>
            <w:tcW w:type="dxa" w:w="2948"/>
          </w:tcPr>
          <w:p>
            <w:pPr>
              <w:spacing w:before="60" w:after="60"/>
            </w:pPr>
            <w:r>
              <w:t>Which diagram needs short labels with brief text beside it?</w:t>
            </w:r>
          </w:p>
        </w:tc>
        <w:tc>
          <w:tcPr>
            <w:tcW w:type="dxa" w:w="4649"/>
          </w:tcPr>
          <w:p>
            <w:pPr>
              <w:spacing w:before="60" w:after="60"/>
            </w:pPr>
            <w:r/>
          </w:p>
        </w:tc>
      </w:tr>
      <w:tr>
        <w:trPr>
          <w:cantSplit w:val="true"/>
          <w:trHeight w:val="850"/>
        </w:trPr>
        <w:tc>
          <w:tcPr>
            <w:tcW w:type="dxa" w:w="2041"/>
            <w:shd w:val="clear" w:color="auto" w:fill="F7F0FB"/>
          </w:tcPr>
          <w:p>
            <w:pPr>
              <w:spacing w:before="60" w:after="60"/>
            </w:pPr>
            <w:r>
              <w:rPr>
                <w:b/>
              </w:rPr>
              <w:t>6. Recall from memory</w:t>
            </w:r>
          </w:p>
        </w:tc>
        <w:tc>
          <w:tcPr>
            <w:tcW w:type="dxa" w:w="2948"/>
            <w:shd w:val="clear" w:color="auto" w:fill="F7F0FB"/>
          </w:tcPr>
          <w:p>
            <w:pPr>
              <w:spacing w:before="60" w:after="60"/>
            </w:pPr>
            <w:r>
              <w:t>Where will learners produce the answer before they see it?</w:t>
            </w:r>
          </w:p>
        </w:tc>
        <w:tc>
          <w:tcPr>
            <w:tcW w:type="dxa" w:w="4649"/>
            <w:shd w:val="clear" w:color="auto" w:fill="F7F0FB"/>
          </w:tcPr>
          <w:p>
            <w:pPr>
              <w:spacing w:before="60" w:after="60"/>
            </w:pPr>
            <w:r/>
          </w:p>
        </w:tc>
      </w:tr>
      <w:tr>
        <w:trPr>
          <w:cantSplit w:val="true"/>
          <w:trHeight w:val="850"/>
        </w:trPr>
        <w:tc>
          <w:tcPr>
            <w:tcW w:type="dxa" w:w="2041"/>
          </w:tcPr>
          <w:p>
            <w:pPr>
              <w:spacing w:before="60" w:after="60"/>
            </w:pPr>
            <w:r>
              <w:rPr>
                <w:b/>
              </w:rPr>
              <w:t>7. Spaced recall</w:t>
            </w:r>
          </w:p>
        </w:tc>
        <w:tc>
          <w:tcPr>
            <w:tcW w:type="dxa" w:w="2948"/>
          </w:tcPr>
          <w:p>
            <w:pPr>
              <w:spacing w:before="60" w:after="60"/>
            </w:pPr>
            <w:r>
              <w:t>Which earlier items does each later check bring back, and when is the delayed review?</w:t>
            </w:r>
          </w:p>
        </w:tc>
        <w:tc>
          <w:tcPr>
            <w:tcW w:type="dxa" w:w="4649"/>
          </w:tcPr>
          <w:p>
            <w:pPr>
              <w:spacing w:before="60" w:after="60"/>
            </w:pPr>
            <w:r/>
          </w:p>
        </w:tc>
      </w:tr>
      <w:tr>
        <w:trPr>
          <w:cantSplit w:val="true"/>
          <w:trHeight w:val="850"/>
        </w:trPr>
        <w:tc>
          <w:tcPr>
            <w:tcW w:type="dxa" w:w="2041"/>
            <w:shd w:val="clear" w:color="auto" w:fill="F7F0FB"/>
          </w:tcPr>
          <w:p>
            <w:pPr>
              <w:spacing w:before="60" w:after="60"/>
            </w:pPr>
            <w:r>
              <w:rPr>
                <w:b/>
              </w:rPr>
              <w:t>8. Mixed practice</w:t>
            </w:r>
          </w:p>
        </w:tc>
        <w:tc>
          <w:tcPr>
            <w:tcW w:type="dxa" w:w="2948"/>
            <w:shd w:val="clear" w:color="auto" w:fill="F7F0FB"/>
          </w:tcPr>
          <w:p>
            <w:pPr>
              <w:spacing w:before="60" w:after="60"/>
            </w:pPr>
            <w:r>
              <w:t>What mixed set makes learners decide which step applies?</w:t>
            </w:r>
          </w:p>
        </w:tc>
        <w:tc>
          <w:tcPr>
            <w:tcW w:type="dxa" w:w="4649"/>
            <w:shd w:val="clear" w:color="auto" w:fill="F7F0FB"/>
          </w:tcPr>
          <w:p>
            <w:pPr>
              <w:spacing w:before="60" w:after="60"/>
            </w:pPr>
            <w:r/>
          </w:p>
        </w:tc>
      </w:tr>
      <w:tr>
        <w:trPr>
          <w:cantSplit w:val="true"/>
          <w:trHeight w:val="850"/>
        </w:trPr>
        <w:tc>
          <w:tcPr>
            <w:tcW w:type="dxa" w:w="2041"/>
          </w:tcPr>
          <w:p>
            <w:pPr>
              <w:spacing w:before="60" w:after="60"/>
            </w:pPr>
            <w:r>
              <w:rPr>
                <w:b/>
              </w:rPr>
              <w:t>9. Why question</w:t>
            </w:r>
          </w:p>
        </w:tc>
        <w:tc>
          <w:tcPr>
            <w:tcW w:type="dxa" w:w="2948"/>
          </w:tcPr>
          <w:p>
            <w:pPr>
              <w:spacing w:before="60" w:after="60"/>
            </w:pPr>
            <w:r>
              <w:t>Which step needs learners to explain why it exists?</w:t>
            </w:r>
          </w:p>
        </w:tc>
        <w:tc>
          <w:tcPr>
            <w:tcW w:type="dxa" w:w="4649"/>
          </w:tcPr>
          <w:p>
            <w:pPr>
              <w:spacing w:before="60" w:after="60"/>
            </w:pPr>
            <w:r/>
          </w:p>
        </w:tc>
      </w:tr>
      <w:tr>
        <w:trPr>
          <w:cantSplit w:val="true"/>
          <w:trHeight w:val="850"/>
        </w:trPr>
        <w:tc>
          <w:tcPr>
            <w:tcW w:type="dxa" w:w="2041"/>
            <w:shd w:val="clear" w:color="auto" w:fill="F7F0FB"/>
          </w:tcPr>
          <w:p>
            <w:pPr>
              <w:spacing w:before="60" w:after="60"/>
            </w:pPr>
            <w:r>
              <w:rPr>
                <w:b/>
              </w:rPr>
              <w:t>10. Confidence check</w:t>
            </w:r>
          </w:p>
        </w:tc>
        <w:tc>
          <w:tcPr>
            <w:tcW w:type="dxa" w:w="2948"/>
            <w:shd w:val="clear" w:color="auto" w:fill="F7F0FB"/>
          </w:tcPr>
          <w:p>
            <w:pPr>
              <w:spacing w:before="60" w:after="60"/>
            </w:pPr>
            <w:r>
              <w:t>Where do learners say how sure they are before seeing the answer?</w:t>
            </w:r>
          </w:p>
        </w:tc>
        <w:tc>
          <w:tcPr>
            <w:tcW w:type="dxa" w:w="4649"/>
            <w:shd w:val="clear" w:color="auto" w:fill="F7F0FB"/>
          </w:tcPr>
          <w:p>
            <w:pPr>
              <w:spacing w:before="60" w:after="60"/>
            </w:pPr>
            <w:r/>
          </w:p>
        </w:tc>
      </w:tr>
      <w:tr>
        <w:trPr>
          <w:cantSplit w:val="true"/>
          <w:trHeight w:val="850"/>
        </w:trPr>
        <w:tc>
          <w:tcPr>
            <w:tcW w:type="dxa" w:w="2041"/>
          </w:tcPr>
          <w:p>
            <w:pPr>
              <w:spacing w:before="60" w:after="60"/>
            </w:pPr>
            <w:r>
              <w:rPr>
                <w:b/>
              </w:rPr>
              <w:t>11. Explained feedback and transfer</w:t>
            </w:r>
          </w:p>
        </w:tc>
        <w:tc>
          <w:tcPr>
            <w:tcW w:type="dxa" w:w="2948"/>
          </w:tcPr>
          <w:p>
            <w:pPr>
              <w:spacing w:before="60" w:after="60"/>
            </w:pPr>
            <w:r>
              <w:t>What feedback names the reason, and what new case ends the course?</w:t>
            </w:r>
          </w:p>
        </w:tc>
        <w:tc>
          <w:tcPr>
            <w:tcW w:type="dxa" w:w="4649"/>
          </w:tcPr>
          <w:p>
            <w:pPr>
              <w:spacing w:before="60" w:after="60"/>
            </w:pPr>
            <w:r/>
          </w:p>
        </w:tc>
      </w:tr>
    </w:tbl>
    <w:p>
      <w:pPr>
        <w:spacing w:before="160"/>
      </w:pPr>
      <w:r>
        <w:rPr>
          <w:i/>
          <w:color w:val="5A5766"/>
        </w:rPr>
        <w:t>Planning aid only. A complete plan does not show that learners will remember more; check the delayed review results.</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