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Planejador de curso que começa pelo problema</w:t>
      </w:r>
    </w:p>
    <w:p>
      <w:r>
        <w:rPr>
          <w:color w:val="5A5766"/>
          <w:sz w:val="22"/>
        </w:rPr>
        <w:t>Planeje um módulo construtivista em que os alunos tentam resolver um problema realista antes da explicação, aprendem com um exemplo resolvido, praticam com um apoio que vai diminuindo, comparam seus raciocínios e decidem um caso novo por conta própria. Adaptação própria da Coursebox a partir da aprendizagem cognitiva (Collins, Brown e Newman, 1989), da aprendizagem baseada em problemas (Savery, 2006) e da resolução de problemas antes da instrução (Sinha e Kapur, 2021). É um apoio de planejamento, não um instrumento validado: não gera pontuação. Um curso hipotético de contas a pagar (CP) vem preenchido como exemplo.</w:t>
      </w:r>
    </w:p>
    <w:p>
      <w:r>
        <w:rPr>
          <w:i/>
          <w:color w:val="5A5766"/>
          <w:sz w:val="18"/>
        </w:rPr>
        <w:t>Do blog da Coursebox: coursebox.ai/blog/constructivism-learning-theory-and-its-elearning-application</w:t>
      </w:r>
    </w:p>
    <w:p>
      <w:pPr>
        <w:keepNext/>
        <w:spacing w:before="240" w:after="80"/>
      </w:pPr>
      <w:r>
        <w:rPr>
          <w:b/>
          <w:color w:val="5D008F"/>
          <w:sz w:val="28"/>
        </w:rPr>
        <w:t>Como usar este planejador</w:t>
      </w:r>
    </w:p>
    <w:p>
      <w:pPr>
        <w:pStyle w:val="ListBullet"/>
      </w:pPr>
      <w:r>
        <w:t>Parta de uma decisão que os alunos erram no trabalho, não de um tema. Escreva-a como o problema.</w:t>
      </w:r>
    </w:p>
    <w:p>
      <w:pPr>
        <w:pStyle w:val="ListBullet"/>
      </w:pPr>
      <w:r>
        <w:t>Liste tudo de que o aluno precisa para decidir: os documentos que ele veria, o registro que deveria conferir e a regra que resolve a questão. Esse é o pacote do caso.</w:t>
      </w:r>
    </w:p>
    <w:p>
      <w:pPr>
        <w:pStyle w:val="ListBullet"/>
      </w:pPr>
      <w:r>
        <w:t>Verifique o que os alunos já sabem. Pergunte, teste ou observe o trabalho deles; não presuma a partir do cargo.</w:t>
      </w:r>
    </w:p>
    <w:p>
      <w:pPr>
        <w:pStyle w:val="ListBullet"/>
      </w:pPr>
      <w:r>
        <w:t>Planeje a ordem: primeira tentativa, exemplo resolvido, prática guiada, comparação, criação da própria ferramenta, um caso novo e um breve encerramento.</w:t>
      </w:r>
    </w:p>
    <w:p>
      <w:pPr>
        <w:pStyle w:val="ListBullet"/>
      </w:pPr>
      <w:r>
        <w:t>Para cada etapa, defina o nível de orientação (total, parcial, leve ou nenhum) e diga exatamente que apoio está disponível. Reduza o apoio conforme os alunos se tornam mais capazes, e não apenas conforme as páginas avançam.</w:t>
      </w:r>
    </w:p>
    <w:p>
      <w:pPr>
        <w:pStyle w:val="ListBullet"/>
      </w:pPr>
      <w:r>
        <w:t>Escreva a avaliação com o caso novo e seus critérios antes de escrever qualquer conteúdo, e escolha um formato de resposta que revele o raciocínio, além de eventuais verificações de fatos.</w:t>
      </w:r>
    </w:p>
    <w:p>
      <w:pPr>
        <w:keepNext/>
        <w:pageBreakBefore/>
        <w:spacing w:before="240" w:after="80"/>
      </w:pPr>
      <w:r>
        <w:rPr>
          <w:b/>
          <w:color w:val="5D008F"/>
          <w:sz w:val="28"/>
        </w:rPr>
        <w:t>Exemplo resolvido: o problema e o pacote do caso</w:t>
      </w:r>
    </w:p>
    <w:p>
      <w:r>
        <w:t>Exemplo hipotético. Uma indústria de médio porte está montando um curso autoguiado de 40 minutos, "Reter, verificar ou pagar?", para analistas de contas a pagar (CP) nos três primeiros meses de empresa.</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Curso de CP</w:t>
            </w:r>
          </w:p>
        </w:tc>
      </w:tr>
      <w:tr>
        <w:trPr>
          <w:cantSplit w:val="true"/>
        </w:trPr>
        <w:tc>
          <w:tcPr>
            <w:tcW w:type="dxa" w:w="2551"/>
          </w:tcPr>
          <w:p>
            <w:pPr>
              <w:spacing w:before="60" w:after="60"/>
            </w:pPr>
            <w:r>
              <w:rPr>
                <w:b/>
              </w:rPr>
              <w:t>A decisão que os alunos erram</w:t>
            </w:r>
          </w:p>
        </w:tc>
        <w:tc>
          <w:tcPr>
            <w:tcW w:type="dxa" w:w="7087"/>
          </w:tcPr>
          <w:p>
            <w:pPr>
              <w:spacing w:before="60" w:after="60"/>
            </w:pPr>
            <w:r>
              <w:t>Atualizar ou não os dados bancários de um fornecedor quando chega um pedido de alteração, e o que fazer com o próximo pagamento.</w:t>
            </w:r>
          </w:p>
        </w:tc>
      </w:tr>
      <w:tr>
        <w:trPr>
          <w:cantSplit w:val="true"/>
        </w:trPr>
        <w:tc>
          <w:tcPr>
            <w:tcW w:type="dxa" w:w="2551"/>
            <w:shd w:val="clear" w:color="auto" w:fill="F7F0FB"/>
          </w:tcPr>
          <w:p>
            <w:pPr>
              <w:spacing w:before="60" w:after="60"/>
            </w:pPr>
            <w:r>
              <w:rPr>
                <w:b/>
              </w:rPr>
              <w:t>O problema</w:t>
            </w:r>
          </w:p>
        </w:tc>
        <w:tc>
          <w:tcPr>
            <w:tcW w:type="dxa" w:w="7087"/>
            <w:shd w:val="clear" w:color="auto" w:fill="F7F0FB"/>
          </w:tcPr>
          <w:p>
            <w:pPr>
              <w:spacing w:before="60" w:after="60"/>
            </w:pPr>
            <w:r>
              <w:t>Numa terça-feira, dois dias antes da rodada semanal de pagamentos, um e-mail do contato de sempre de um fornecedor antigo de embalagens pede ao CP que troque a conta bancária "em todos os pagamentos desta semana" porque o fornecedor "mudou de banco". Uma fatura de US$ 48.600 vence na rodada de quinta-feira. O domínio do remetente difere do habitual por uma letra.</w:t>
            </w:r>
          </w:p>
        </w:tc>
      </w:tr>
      <w:tr>
        <w:trPr>
          <w:cantSplit w:val="true"/>
        </w:trPr>
        <w:tc>
          <w:tcPr>
            <w:tcW w:type="dxa" w:w="2551"/>
          </w:tcPr>
          <w:p>
            <w:pPr>
              <w:spacing w:before="60" w:after="60"/>
            </w:pPr>
            <w:r>
              <w:rPr>
                <w:b/>
              </w:rPr>
              <w:t>Pacote do caso</w:t>
            </w:r>
          </w:p>
        </w:tc>
        <w:tc>
          <w:tcPr>
            <w:tcW w:type="dxa" w:w="7087"/>
          </w:tcPr>
          <w:p>
            <w:pPr>
              <w:spacing w:before="60" w:after="60"/>
            </w:pPr>
            <w:r>
              <w:t>O e-mail; a carta em papel timbrado com os novos dados; o cadastro mestre do fornecedor (dados bancários, telefone registrado, sem alterações em quatro anos); o cronograma da rodada de pagamentos; o procedimento.</w:t>
            </w:r>
          </w:p>
        </w:tc>
      </w:tr>
      <w:tr>
        <w:trPr>
          <w:cantSplit w:val="true"/>
        </w:trPr>
        <w:tc>
          <w:tcPr>
            <w:tcW w:type="dxa" w:w="2551"/>
            <w:shd w:val="clear" w:color="auto" w:fill="F7F0FB"/>
          </w:tcPr>
          <w:p>
            <w:pPr>
              <w:spacing w:before="60" w:after="60"/>
            </w:pPr>
            <w:r>
              <w:rPr>
                <w:b/>
              </w:rPr>
              <w:t>A regra que resolve a questão</w:t>
            </w:r>
          </w:p>
        </w:tc>
        <w:tc>
          <w:tcPr>
            <w:tcW w:type="dxa" w:w="7087"/>
            <w:shd w:val="clear" w:color="auto" w:fill="F7F0FB"/>
          </w:tcPr>
          <w:p>
            <w:pPr>
              <w:spacing w:before="60" w:after="60"/>
            </w:pPr>
            <w:r>
              <w:t>Confirme qualquer alteração de dados bancários ligando para o fornecedor no número que já consta no cadastro, nunca para um número informado no pedido, e obtenha a aprovação de um segundo analista antes do próximo pagamento.</w:t>
            </w:r>
          </w:p>
        </w:tc>
      </w:tr>
      <w:tr>
        <w:trPr>
          <w:cantSplit w:val="true"/>
        </w:trPr>
        <w:tc>
          <w:tcPr>
            <w:tcW w:type="dxa" w:w="2551"/>
          </w:tcPr>
          <w:p>
            <w:pPr>
              <w:spacing w:before="60" w:after="60"/>
            </w:pPr>
            <w:r>
              <w:rPr>
                <w:b/>
              </w:rPr>
              <w:t>Resultado esperado</w:t>
            </w:r>
          </w:p>
        </w:tc>
        <w:tc>
          <w:tcPr>
            <w:tcW w:type="dxa" w:w="7087"/>
          </w:tcPr>
          <w:p>
            <w:pPr>
              <w:spacing w:before="60" w:after="60"/>
            </w:pPr>
            <w:r>
              <w:t>Os analistas avaliam um pedido de alteração com base no cadastro do fornecedor e no procedimento, escolhem entre reter, verificar ou pagar, justificam a escolha por escrito e montam a própria verificação para o próximo pedido.</w:t>
            </w:r>
          </w:p>
        </w:tc>
      </w:tr>
    </w:tbl>
    <w:p>
      <w:pPr>
        <w:keepNext/>
        <w:spacing w:before="240" w:after="80"/>
      </w:pPr>
      <w:r>
        <w:rPr>
          <w:b/>
          <w:color w:val="5D008F"/>
          <w:sz w:val="28"/>
        </w:rPr>
        <w:t>Exemplo resolvido: o que os alunos já sabem</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Pergunta</w:t>
            </w:r>
          </w:p>
        </w:tc>
        <w:tc>
          <w:tcPr>
            <w:tcW w:type="dxa" w:w="6236"/>
            <w:shd w:val="clear" w:color="auto" w:fill="5D008F"/>
          </w:tcPr>
          <w:p>
            <w:pPr>
              <w:spacing w:before="60" w:after="60"/>
            </w:pPr>
            <w:r/>
            <w:r>
              <w:rPr>
                <w:b/>
                <w:color w:val="FFFFFF"/>
              </w:rPr>
              <w:t>Curso de CP</w:t>
            </w:r>
          </w:p>
        </w:tc>
      </w:tr>
      <w:tr>
        <w:trPr>
          <w:cantSplit w:val="true"/>
        </w:trPr>
        <w:tc>
          <w:tcPr>
            <w:tcW w:type="dxa" w:w="3402"/>
          </w:tcPr>
          <w:p>
            <w:pPr>
              <w:spacing w:before="60" w:after="60"/>
            </w:pPr>
            <w:r>
              <w:rPr>
                <w:b/>
              </w:rPr>
              <w:t>O que eles já sabem fazer?</w:t>
            </w:r>
          </w:p>
        </w:tc>
        <w:tc>
          <w:tcPr>
            <w:tcW w:type="dxa" w:w="6236"/>
          </w:tcPr>
          <w:p>
            <w:pPr>
              <w:spacing w:before="60" w:after="60"/>
            </w:pPr>
            <w:r>
              <w:t>Lançar faturas e executar a rodada semanal de pagamentos no sistema financeiro.</w:t>
            </w:r>
          </w:p>
        </w:tc>
      </w:tr>
      <w:tr>
        <w:trPr>
          <w:cantSplit w:val="true"/>
        </w:trPr>
        <w:tc>
          <w:tcPr>
            <w:tcW w:type="dxa" w:w="3402"/>
            <w:shd w:val="clear" w:color="auto" w:fill="F7F0FB"/>
          </w:tcPr>
          <w:p>
            <w:pPr>
              <w:spacing w:before="60" w:after="60"/>
            </w:pPr>
            <w:r>
              <w:rPr>
                <w:b/>
              </w:rPr>
              <w:t>O que eles ainda não fizeram?</w:t>
            </w:r>
          </w:p>
        </w:tc>
        <w:tc>
          <w:tcPr>
            <w:tcW w:type="dxa" w:w="6236"/>
            <w:shd w:val="clear" w:color="auto" w:fill="F7F0FB"/>
          </w:tcPr>
          <w:p>
            <w:pPr>
              <w:spacing w:before="60" w:after="60"/>
            </w:pPr>
            <w:r>
              <w:t>Tratar um pedido de alteração de dados bancários ou ler o procedimento de verificação.</w:t>
            </w:r>
          </w:p>
        </w:tc>
      </w:tr>
      <w:tr>
        <w:trPr>
          <w:cantSplit w:val="true"/>
        </w:trPr>
        <w:tc>
          <w:tcPr>
            <w:tcW w:type="dxa" w:w="3402"/>
          </w:tcPr>
          <w:p>
            <w:pPr>
              <w:spacing w:before="60" w:after="60"/>
            </w:pPr>
            <w:r>
              <w:rPr>
                <w:b/>
              </w:rPr>
              <w:t>No que eles provavelmente acreditam?</w:t>
            </w:r>
          </w:p>
        </w:tc>
        <w:tc>
          <w:tcPr>
            <w:tcW w:type="dxa" w:w="6236"/>
          </w:tcPr>
          <w:p>
            <w:pPr>
              <w:spacing w:before="60" w:after="60"/>
            </w:pPr>
            <w:r>
              <w:t>Um pedido do contato de sempre é seguro. A primeira resposta aberta vai confirmar ou corrigir essa crença.</w:t>
            </w:r>
          </w:p>
        </w:tc>
      </w:tr>
      <w:tr>
        <w:trPr>
          <w:cantSplit w:val="true"/>
        </w:trPr>
        <w:tc>
          <w:tcPr>
            <w:tcW w:type="dxa" w:w="3402"/>
            <w:shd w:val="clear" w:color="auto" w:fill="F7F0FB"/>
          </w:tcPr>
          <w:p>
            <w:pPr>
              <w:spacing w:before="60" w:after="60"/>
            </w:pPr>
            <w:r>
              <w:rPr>
                <w:b/>
              </w:rPr>
              <w:t>Como verificamos?</w:t>
            </w:r>
          </w:p>
        </w:tc>
        <w:tc>
          <w:tcPr>
            <w:tcW w:type="dxa" w:w="6236"/>
            <w:shd w:val="clear" w:color="auto" w:fill="F7F0FB"/>
          </w:tcPr>
          <w:p>
            <w:pPr>
              <w:spacing w:before="60" w:after="60"/>
            </w:pPr>
            <w:r>
              <w:t>Uma amostra de respostas de analistas novos a uma pergunta aberta sobre um pedido parecido, antes de o curso ser escrito.</w:t>
            </w:r>
          </w:p>
        </w:tc>
      </w:tr>
    </w:tbl>
    <w:p>
      <w:pPr>
        <w:keepNext/>
        <w:pageBreakBefore/>
        <w:spacing w:before="240" w:after="80"/>
      </w:pPr>
      <w:r>
        <w:rPr>
          <w:b/>
          <w:color w:val="5D008F"/>
          <w:sz w:val="28"/>
        </w:rPr>
        <w:t>Exemplo resolvido: a sequência e a orientação em cada etapa</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Etapa</w:t>
            </w:r>
          </w:p>
        </w:tc>
        <w:tc>
          <w:tcPr>
            <w:tcW w:type="dxa" w:w="2835"/>
            <w:shd w:val="clear" w:color="auto" w:fill="5D008F"/>
          </w:tcPr>
          <w:p>
            <w:pPr>
              <w:spacing w:before="60" w:after="60"/>
            </w:pPr>
            <w:r/>
            <w:r>
              <w:rPr>
                <w:b/>
                <w:color w:val="FFFFFF"/>
              </w:rPr>
              <w:t>O que os alunos fazem</w:t>
            </w:r>
          </w:p>
        </w:tc>
        <w:tc>
          <w:tcPr>
            <w:tcW w:type="dxa" w:w="1247"/>
            <w:shd w:val="clear" w:color="auto" w:fill="5D008F"/>
          </w:tcPr>
          <w:p>
            <w:pPr>
              <w:spacing w:before="60" w:after="60"/>
            </w:pPr>
            <w:r/>
            <w:r>
              <w:rPr>
                <w:b/>
                <w:color w:val="FFFFFF"/>
              </w:rPr>
              <w:t>Nível de orientação</w:t>
            </w:r>
          </w:p>
        </w:tc>
        <w:tc>
          <w:tcPr>
            <w:tcW w:type="dxa" w:w="2268"/>
            <w:shd w:val="clear" w:color="auto" w:fill="5D008F"/>
          </w:tcPr>
          <w:p>
            <w:pPr>
              <w:spacing w:before="60" w:after="60"/>
            </w:pPr>
            <w:r/>
            <w:r>
              <w:rPr>
                <w:b/>
                <w:color w:val="FFFFFF"/>
              </w:rPr>
              <w:t>Apoio disponível</w:t>
            </w:r>
          </w:p>
        </w:tc>
        <w:tc>
          <w:tcPr>
            <w:tcW w:type="dxa" w:w="1701"/>
            <w:shd w:val="clear" w:color="auto" w:fill="5D008F"/>
          </w:tcPr>
          <w:p>
            <w:pPr>
              <w:spacing w:before="60" w:after="60"/>
            </w:pPr>
            <w:r/>
            <w:r>
              <w:rPr>
                <w:b/>
                <w:color w:val="FFFFFF"/>
              </w:rPr>
              <w:t>Método</w:t>
            </w:r>
          </w:p>
        </w:tc>
      </w:tr>
      <w:tr>
        <w:trPr>
          <w:cantSplit w:val="true"/>
        </w:trPr>
        <w:tc>
          <w:tcPr>
            <w:tcW w:type="dxa" w:w="1587"/>
          </w:tcPr>
          <w:p>
            <w:pPr>
              <w:spacing w:before="60" w:after="60"/>
            </w:pPr>
            <w:r>
              <w:rPr>
                <w:b/>
              </w:rPr>
              <w:t>Antes de começar</w:t>
            </w:r>
          </w:p>
        </w:tc>
        <w:tc>
          <w:tcPr>
            <w:tcW w:type="dxa" w:w="2835"/>
          </w:tcPr>
          <w:p>
            <w:pPr>
              <w:spacing w:before="60" w:after="60"/>
            </w:pPr>
            <w:r>
              <w:t>Ver o que o curso aborda e o pacote do caso</w:t>
            </w:r>
          </w:p>
        </w:tc>
        <w:tc>
          <w:tcPr>
            <w:tcW w:type="dxa" w:w="1247"/>
          </w:tcPr>
          <w:p>
            <w:pPr>
              <w:spacing w:before="60" w:after="60"/>
            </w:pPr>
            <w:r>
              <w:t>Leve</w:t>
            </w:r>
          </w:p>
        </w:tc>
        <w:tc>
          <w:tcPr>
            <w:tcW w:type="dxa" w:w="2268"/>
          </w:tcPr>
          <w:p>
            <w:pPr>
              <w:spacing w:before="60" w:after="60"/>
            </w:pPr>
            <w:r>
              <w:t>Visão geral breve; ainda sem procedimento nem aula sobre fraude</w:t>
            </w:r>
          </w:p>
        </w:tc>
        <w:tc>
          <w:tcPr>
            <w:tcW w:type="dxa" w:w="1701"/>
          </w:tcPr>
          <w:p>
            <w:pPr>
              <w:spacing w:before="60" w:after="60"/>
            </w:pPr>
            <w:r>
              <w:t>Aprendizagem baseada em problemas</w:t>
            </w:r>
          </w:p>
        </w:tc>
      </w:tr>
      <w:tr>
        <w:trPr>
          <w:cantSplit w:val="true"/>
        </w:trPr>
        <w:tc>
          <w:tcPr>
            <w:tcW w:type="dxa" w:w="1587"/>
            <w:shd w:val="clear" w:color="auto" w:fill="F7F0FB"/>
          </w:tcPr>
          <w:p>
            <w:pPr>
              <w:spacing w:before="60" w:after="60"/>
            </w:pPr>
            <w:r>
              <w:rPr>
                <w:b/>
              </w:rPr>
              <w:t>Sua primeira decisão</w:t>
            </w:r>
          </w:p>
        </w:tc>
        <w:tc>
          <w:tcPr>
            <w:tcW w:type="dxa" w:w="2835"/>
            <w:shd w:val="clear" w:color="auto" w:fill="F7F0FB"/>
          </w:tcPr>
          <w:p>
            <w:pPr>
              <w:spacing w:before="60" w:after="60"/>
            </w:pPr>
            <w:r>
              <w:t>Ler o pedido de terça-feira e escrever o que fariam e por quê</w:t>
            </w:r>
          </w:p>
        </w:tc>
        <w:tc>
          <w:tcPr>
            <w:tcW w:type="dxa" w:w="1247"/>
            <w:shd w:val="clear" w:color="auto" w:fill="F7F0FB"/>
          </w:tcPr>
          <w:p>
            <w:pPr>
              <w:spacing w:before="60" w:after="60"/>
            </w:pPr>
            <w:r>
              <w:t>Nenhum</w:t>
            </w:r>
          </w:p>
        </w:tc>
        <w:tc>
          <w:tcPr>
            <w:tcW w:type="dxa" w:w="2268"/>
            <w:shd w:val="clear" w:color="auto" w:fill="F7F0FB"/>
          </w:tcPr>
          <w:p>
            <w:pPr>
              <w:spacing w:before="60" w:after="60"/>
            </w:pPr>
            <w:r>
              <w:t>Aviso de que a primeira resposta não precisa estar certa</w:t>
            </w:r>
          </w:p>
        </w:tc>
        <w:tc>
          <w:tcPr>
            <w:tcW w:type="dxa" w:w="1701"/>
            <w:shd w:val="clear" w:color="auto" w:fill="F7F0FB"/>
          </w:tcPr>
          <w:p>
            <w:pPr>
              <w:spacing w:before="60" w:after="60"/>
            </w:pPr>
            <w:r>
              <w:t>Problema primeiro</w:t>
            </w:r>
          </w:p>
        </w:tc>
      </w:tr>
      <w:tr>
        <w:trPr>
          <w:cantSplit w:val="true"/>
        </w:trPr>
        <w:tc>
          <w:tcPr>
            <w:tcW w:type="dxa" w:w="1587"/>
          </w:tcPr>
          <w:p>
            <w:pPr>
              <w:spacing w:before="60" w:after="60"/>
            </w:pPr>
            <w:r>
              <w:rPr>
                <w:b/>
              </w:rPr>
              <w:t>Observar um analista experiente</w:t>
            </w:r>
          </w:p>
        </w:tc>
        <w:tc>
          <w:tcPr>
            <w:tcW w:type="dxa" w:w="2835"/>
          </w:tcPr>
          <w:p>
            <w:pPr>
              <w:spacing w:before="60" w:after="60"/>
            </w:pPr>
            <w:r>
              <w:t>Acompanhar um analista sênior pensando em voz alta durante um pedido anterior</w:t>
            </w:r>
          </w:p>
        </w:tc>
        <w:tc>
          <w:tcPr>
            <w:tcW w:type="dxa" w:w="1247"/>
          </w:tcPr>
          <w:p>
            <w:pPr>
              <w:spacing w:before="60" w:after="60"/>
            </w:pPr>
            <w:r>
              <w:t>Total</w:t>
            </w:r>
          </w:p>
        </w:tc>
        <w:tc>
          <w:tcPr>
            <w:tcW w:type="dxa" w:w="2268"/>
          </w:tcPr>
          <w:p>
            <w:pPr>
              <w:spacing w:before="60" w:after="60"/>
            </w:pPr>
            <w:r>
              <w:t>Exemplo resolvido, passo a passo</w:t>
            </w:r>
          </w:p>
        </w:tc>
        <w:tc>
          <w:tcPr>
            <w:tcW w:type="dxa" w:w="1701"/>
          </w:tcPr>
          <w:p>
            <w:pPr>
              <w:spacing w:before="60" w:after="60"/>
            </w:pPr>
            <w:r>
              <w:t>Aprendizagem baseada em casos, modelagem</w:t>
            </w:r>
          </w:p>
        </w:tc>
      </w:tr>
      <w:tr>
        <w:trPr>
          <w:cantSplit w:val="true"/>
        </w:trPr>
        <w:tc>
          <w:tcPr>
            <w:tcW w:type="dxa" w:w="1587"/>
            <w:shd w:val="clear" w:color="auto" w:fill="F7F0FB"/>
          </w:tcPr>
          <w:p>
            <w:pPr>
              <w:spacing w:before="60" w:after="60"/>
            </w:pPr>
            <w:r>
              <w:rPr>
                <w:b/>
              </w:rPr>
              <w:t>Trabalhar o caso com dicas</w:t>
            </w:r>
          </w:p>
        </w:tc>
        <w:tc>
          <w:tcPr>
            <w:tcW w:type="dxa" w:w="2835"/>
            <w:shd w:val="clear" w:color="auto" w:fill="F7F0FB"/>
          </w:tcPr>
          <w:p>
            <w:pPr>
              <w:spacing w:before="60" w:after="60"/>
            </w:pPr>
            <w:r>
              <w:t>Conferir cada parte do pacote do caso com o pedido de terça-feira</w:t>
            </w:r>
          </w:p>
        </w:tc>
        <w:tc>
          <w:tcPr>
            <w:tcW w:type="dxa" w:w="1247"/>
            <w:shd w:val="clear" w:color="auto" w:fill="F7F0FB"/>
          </w:tcPr>
          <w:p>
            <w:pPr>
              <w:spacing w:before="60" w:after="60"/>
            </w:pPr>
            <w:r>
              <w:t>Parcial</w:t>
            </w:r>
          </w:p>
        </w:tc>
        <w:tc>
          <w:tcPr>
            <w:tcW w:type="dxa" w:w="2268"/>
            <w:shd w:val="clear" w:color="auto" w:fill="F7F0FB"/>
          </w:tcPr>
          <w:p>
            <w:pPr>
              <w:spacing w:before="60" w:after="60"/>
            </w:pPr>
            <w:r>
              <w:t>Dicas opcionais que indicam onde procurar</w:t>
            </w:r>
          </w:p>
        </w:tc>
        <w:tc>
          <w:tcPr>
            <w:tcW w:type="dxa" w:w="1701"/>
            <w:shd w:val="clear" w:color="auto" w:fill="F7F0FB"/>
          </w:tcPr>
          <w:p>
            <w:pPr>
              <w:spacing w:before="60" w:after="60"/>
            </w:pPr>
            <w:r>
              <w:t>Investigação, coaching</w:t>
            </w:r>
          </w:p>
        </w:tc>
      </w:tr>
      <w:tr>
        <w:trPr>
          <w:cantSplit w:val="true"/>
        </w:trPr>
        <w:tc>
          <w:tcPr>
            <w:tcW w:type="dxa" w:w="1587"/>
          </w:tcPr>
          <w:p>
            <w:pPr>
              <w:spacing w:before="60" w:after="60"/>
            </w:pPr>
            <w:r>
              <w:rPr>
                <w:b/>
              </w:rPr>
              <w:t>Comparar seu raciocínio</w:t>
            </w:r>
          </w:p>
        </w:tc>
        <w:tc>
          <w:tcPr>
            <w:tcW w:type="dxa" w:w="2835"/>
          </w:tcPr>
          <w:p>
            <w:pPr>
              <w:spacing w:before="60" w:after="60"/>
            </w:pPr>
            <w:r>
              <w:t>Ler as decisões de dois colegas e dizer com qual concordam e o que mudariam</w:t>
            </w:r>
          </w:p>
        </w:tc>
        <w:tc>
          <w:tcPr>
            <w:tcW w:type="dxa" w:w="1247"/>
          </w:tcPr>
          <w:p>
            <w:pPr>
              <w:spacing w:before="60" w:after="60"/>
            </w:pPr>
            <w:r>
              <w:t>Parcial</w:t>
            </w:r>
          </w:p>
        </w:tc>
        <w:tc>
          <w:tcPr>
            <w:tcW w:type="dxa" w:w="2268"/>
          </w:tcPr>
          <w:p>
            <w:pPr>
              <w:spacing w:before="60" w:after="60"/>
            </w:pPr>
            <w:r>
              <w:t>O procedimento e o exemplo resolvido</w:t>
            </w:r>
          </w:p>
        </w:tc>
        <w:tc>
          <w:tcPr>
            <w:tcW w:type="dxa" w:w="1701"/>
          </w:tcPr>
          <w:p>
            <w:pPr>
              <w:spacing w:before="60" w:after="60"/>
            </w:pPr>
            <w:r>
              <w:t>Reflexão com os colegas</w:t>
            </w:r>
          </w:p>
        </w:tc>
      </w:tr>
      <w:tr>
        <w:trPr>
          <w:cantSplit w:val="true"/>
        </w:trPr>
        <w:tc>
          <w:tcPr>
            <w:tcW w:type="dxa" w:w="1587"/>
            <w:shd w:val="clear" w:color="auto" w:fill="F7F0FB"/>
          </w:tcPr>
          <w:p>
            <w:pPr>
              <w:spacing w:before="60" w:after="60"/>
            </w:pPr>
            <w:r>
              <w:rPr>
                <w:b/>
              </w:rPr>
              <w:t>Monte sua própria verificação</w:t>
            </w:r>
          </w:p>
        </w:tc>
        <w:tc>
          <w:tcPr>
            <w:tcW w:type="dxa" w:w="2835"/>
            <w:shd w:val="clear" w:color="auto" w:fill="F7F0FB"/>
          </w:tcPr>
          <w:p>
            <w:pPr>
              <w:spacing w:before="60" w:after="60"/>
            </w:pPr>
            <w:r>
              <w:t>Escrever um checklist pessoal para o próximo pedido</w:t>
            </w:r>
          </w:p>
        </w:tc>
        <w:tc>
          <w:tcPr>
            <w:tcW w:type="dxa" w:w="1247"/>
            <w:shd w:val="clear" w:color="auto" w:fill="F7F0FB"/>
          </w:tcPr>
          <w:p>
            <w:pPr>
              <w:spacing w:before="60" w:after="60"/>
            </w:pPr>
            <w:r>
              <w:t>Leve</w:t>
            </w:r>
          </w:p>
        </w:tc>
        <w:tc>
          <w:tcPr>
            <w:tcW w:type="dxa" w:w="2268"/>
            <w:shd w:val="clear" w:color="auto" w:fill="F7F0FB"/>
          </w:tcPr>
          <w:p>
            <w:pPr>
              <w:spacing w:before="60" w:after="60"/>
            </w:pPr>
            <w:r>
              <w:t>Sugestões do que um checklist deve cobrir</w:t>
            </w:r>
          </w:p>
        </w:tc>
        <w:tc>
          <w:tcPr>
            <w:tcW w:type="dxa" w:w="1701"/>
            <w:shd w:val="clear" w:color="auto" w:fill="F7F0FB"/>
          </w:tcPr>
          <w:p>
            <w:pPr>
              <w:spacing w:before="60" w:after="60"/>
            </w:pPr>
            <w:r>
              <w:t>Construcionismo</w:t>
            </w:r>
          </w:p>
        </w:tc>
      </w:tr>
      <w:tr>
        <w:trPr>
          <w:cantSplit w:val="true"/>
        </w:trPr>
        <w:tc>
          <w:tcPr>
            <w:tcW w:type="dxa" w:w="1587"/>
          </w:tcPr>
          <w:p>
            <w:pPr>
              <w:spacing w:before="60" w:after="60"/>
            </w:pPr>
            <w:r>
              <w:rPr>
                <w:b/>
              </w:rPr>
              <w:t>Decisão no caso novo</w:t>
            </w:r>
          </w:p>
        </w:tc>
        <w:tc>
          <w:tcPr>
            <w:tcW w:type="dxa" w:w="2835"/>
          </w:tcPr>
          <w:p>
            <w:pPr>
              <w:spacing w:before="60" w:after="60"/>
            </w:pPr>
            <w:r>
              <w:t>Escrever uma decisão sobre um novo pedido que chega por telefone</w:t>
            </w:r>
          </w:p>
        </w:tc>
        <w:tc>
          <w:tcPr>
            <w:tcW w:type="dxa" w:w="1247"/>
          </w:tcPr>
          <w:p>
            <w:pPr>
              <w:spacing w:before="60" w:after="60"/>
            </w:pPr>
            <w:r>
              <w:t>Nenhum</w:t>
            </w:r>
          </w:p>
        </w:tc>
        <w:tc>
          <w:tcPr>
            <w:tcW w:type="dxa" w:w="2268"/>
          </w:tcPr>
          <w:p>
            <w:pPr>
              <w:spacing w:before="60" w:after="60"/>
            </w:pPr>
            <w:r>
              <w:t>Somente o procedimento</w:t>
            </w:r>
          </w:p>
        </w:tc>
        <w:tc>
          <w:tcPr>
            <w:tcW w:type="dxa" w:w="1701"/>
          </w:tcPr>
          <w:p>
            <w:pPr>
              <w:spacing w:before="60" w:after="60"/>
            </w:pPr>
            <w:r>
              <w:t>Exploração</w:t>
            </w:r>
          </w:p>
        </w:tc>
      </w:tr>
      <w:tr>
        <w:trPr>
          <w:cantSplit w:val="true"/>
        </w:trPr>
        <w:tc>
          <w:tcPr>
            <w:tcW w:type="dxa" w:w="1587"/>
            <w:shd w:val="clear" w:color="auto" w:fill="F7F0FB"/>
          </w:tcPr>
          <w:p>
            <w:pPr>
              <w:spacing w:before="60" w:after="60"/>
            </w:pPr>
            <w:r>
              <w:rPr>
                <w:b/>
              </w:rPr>
              <w:t>Encerramento</w:t>
            </w:r>
          </w:p>
        </w:tc>
        <w:tc>
          <w:tcPr>
            <w:tcW w:type="dxa" w:w="2835"/>
            <w:shd w:val="clear" w:color="auto" w:fill="F7F0FB"/>
          </w:tcPr>
          <w:p>
            <w:pPr>
              <w:spacing w:before="60" w:after="60"/>
            </w:pPr>
            <w:r>
              <w:t>Aprender como tratar um pagamento retido com o fornecedor e o aprovador</w:t>
            </w:r>
          </w:p>
        </w:tc>
        <w:tc>
          <w:tcPr>
            <w:tcW w:type="dxa" w:w="1247"/>
            <w:shd w:val="clear" w:color="auto" w:fill="F7F0FB"/>
          </w:tcPr>
          <w:p>
            <w:pPr>
              <w:spacing w:before="60" w:after="60"/>
            </w:pPr>
            <w:r>
              <w:t>Total</w:t>
            </w:r>
          </w:p>
        </w:tc>
        <w:tc>
          <w:tcPr>
            <w:tcW w:type="dxa" w:w="2268"/>
            <w:shd w:val="clear" w:color="auto" w:fill="F7F0FB"/>
          </w:tcPr>
          <w:p>
            <w:pPr>
              <w:spacing w:before="60" w:after="60"/>
            </w:pPr>
            <w:r>
              <w:t>Explicação breve</w:t>
            </w:r>
          </w:p>
        </w:tc>
        <w:tc>
          <w:tcPr>
            <w:tcW w:type="dxa" w:w="1701"/>
            <w:shd w:val="clear" w:color="auto" w:fill="F7F0FB"/>
          </w:tcPr>
          <w:p>
            <w:pPr>
              <w:spacing w:before="60" w:after="60"/>
            </w:pPr>
            <w:r>
              <w:t>Instrução direta</w:t>
            </w:r>
          </w:p>
        </w:tc>
      </w:tr>
    </w:tbl>
    <w:p>
      <w:pPr>
        <w:keepNext/>
        <w:spacing w:before="240" w:after="80"/>
      </w:pPr>
      <w:r>
        <w:rPr>
          <w:b/>
          <w:color w:val="5D008F"/>
          <w:sz w:val="28"/>
        </w:rPr>
        <w:t>Exemplo resolvido: a avaliação com o caso novo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Curso de CP</w:t>
            </w:r>
          </w:p>
        </w:tc>
      </w:tr>
      <w:tr>
        <w:trPr>
          <w:cantSplit w:val="true"/>
        </w:trPr>
        <w:tc>
          <w:tcPr>
            <w:tcW w:type="dxa" w:w="2551"/>
          </w:tcPr>
          <w:p>
            <w:pPr>
              <w:spacing w:before="60" w:after="60"/>
            </w:pPr>
            <w:r>
              <w:rPr>
                <w:b/>
              </w:rPr>
              <w:t>O caso novo</w:t>
            </w:r>
          </w:p>
        </w:tc>
        <w:tc>
          <w:tcPr>
            <w:tcW w:type="dxa" w:w="7087"/>
          </w:tcPr>
          <w:p>
            <w:pPr>
              <w:spacing w:before="60" w:after="60"/>
            </w:pPr>
            <w:r>
              <w:t>Outro fornecedor; o pedido chega por telefone, não por e-mail; sinais de alerta diferentes. A resposta de terça-feira não pode ser reaproveitada.</w:t>
            </w:r>
          </w:p>
        </w:tc>
      </w:tr>
      <w:tr>
        <w:trPr>
          <w:cantSplit w:val="true"/>
        </w:trPr>
        <w:tc>
          <w:tcPr>
            <w:tcW w:type="dxa" w:w="2551"/>
            <w:shd w:val="clear" w:color="auto" w:fill="F7F0FB"/>
          </w:tcPr>
          <w:p>
            <w:pPr>
              <w:spacing w:before="60" w:after="60"/>
            </w:pPr>
            <w:r>
              <w:rPr>
                <w:b/>
              </w:rPr>
              <w:t>Formato da resposta</w:t>
            </w:r>
          </w:p>
        </w:tc>
        <w:tc>
          <w:tcPr>
            <w:tcW w:type="dxa" w:w="7087"/>
            <w:shd w:val="clear" w:color="auto" w:fill="F7F0FB"/>
          </w:tcPr>
          <w:p>
            <w:pPr>
              <w:spacing w:before="60" w:after="60"/>
            </w:pPr>
            <w:r>
              <w:t>Texto aberto: a decisão e o raciocínio por trás dela.</w:t>
            </w:r>
          </w:p>
        </w:tc>
      </w:tr>
      <w:tr>
        <w:trPr>
          <w:cantSplit w:val="true"/>
        </w:trPr>
        <w:tc>
          <w:tcPr>
            <w:tcW w:type="dxa" w:w="2551"/>
          </w:tcPr>
          <w:p>
            <w:pPr>
              <w:spacing w:before="60" w:after="60"/>
            </w:pPr>
            <w:r>
              <w:rPr>
                <w:b/>
              </w:rPr>
              <w:t>Critério 1</w:t>
            </w:r>
          </w:p>
        </w:tc>
        <w:tc>
          <w:tcPr>
            <w:tcW w:type="dxa" w:w="7087"/>
          </w:tcPr>
          <w:p>
            <w:pPr>
              <w:spacing w:before="60" w:after="60"/>
            </w:pPr>
            <w:r>
              <w:t>Conferiu o pedido com o cadastro mestre do fornecedor.</w:t>
            </w:r>
          </w:p>
        </w:tc>
      </w:tr>
      <w:tr>
        <w:trPr>
          <w:cantSplit w:val="true"/>
        </w:trPr>
        <w:tc>
          <w:tcPr>
            <w:tcW w:type="dxa" w:w="2551"/>
            <w:shd w:val="clear" w:color="auto" w:fill="F7F0FB"/>
          </w:tcPr>
          <w:p>
            <w:pPr>
              <w:spacing w:before="60" w:after="60"/>
            </w:pPr>
            <w:r>
              <w:rPr>
                <w:b/>
              </w:rPr>
              <w:t>Critério 2</w:t>
            </w:r>
          </w:p>
        </w:tc>
        <w:tc>
          <w:tcPr>
            <w:tcW w:type="dxa" w:w="7087"/>
            <w:shd w:val="clear" w:color="auto" w:fill="F7F0FB"/>
          </w:tcPr>
          <w:p>
            <w:pPr>
              <w:spacing w:before="60" w:after="60"/>
            </w:pPr>
            <w:r>
              <w:t>Indicou a etapa de verificação prevista no procedimento.</w:t>
            </w:r>
          </w:p>
        </w:tc>
      </w:tr>
      <w:tr>
        <w:trPr>
          <w:cantSplit w:val="true"/>
        </w:trPr>
        <w:tc>
          <w:tcPr>
            <w:tcW w:type="dxa" w:w="2551"/>
          </w:tcPr>
          <w:p>
            <w:pPr>
              <w:spacing w:before="60" w:after="60"/>
            </w:pPr>
            <w:r>
              <w:rPr>
                <w:b/>
              </w:rPr>
              <w:t>Critério 3</w:t>
            </w:r>
          </w:p>
        </w:tc>
        <w:tc>
          <w:tcPr>
            <w:tcW w:type="dxa" w:w="7087"/>
          </w:tcPr>
          <w:p>
            <w:pPr>
              <w:spacing w:before="60" w:after="60"/>
            </w:pPr>
            <w:r>
              <w:t>Informou a próxima ação para a rodada de pagamentos.</w:t>
            </w:r>
          </w:p>
        </w:tc>
      </w:tr>
      <w:tr>
        <w:trPr>
          <w:cantSplit w:val="true"/>
        </w:trPr>
        <w:tc>
          <w:tcPr>
            <w:tcW w:type="dxa" w:w="2551"/>
            <w:shd w:val="clear" w:color="auto" w:fill="F7F0FB"/>
          </w:tcPr>
          <w:p>
            <w:pPr>
              <w:spacing w:before="60" w:after="60"/>
            </w:pPr>
            <w:r>
              <w:rPr>
                <w:b/>
              </w:rPr>
              <w:t>Verificação de fatos</w:t>
            </w:r>
          </w:p>
        </w:tc>
        <w:tc>
          <w:tcPr>
            <w:tcW w:type="dxa" w:w="7087"/>
            <w:shd w:val="clear" w:color="auto" w:fill="F7F0FB"/>
          </w:tcPr>
          <w:p>
            <w:pPr>
              <w:spacing w:before="60" w:after="60"/>
            </w:pPr>
            <w:r>
              <w:t>Questão breve de múltipla escolha apenas sobre fatos do procedimento, como quem aprova uma alteração.</w:t>
            </w:r>
          </w:p>
        </w:tc>
      </w:tr>
      <w:tr>
        <w:trPr>
          <w:cantSplit w:val="true"/>
        </w:trPr>
        <w:tc>
          <w:tcPr>
            <w:tcW w:type="dxa" w:w="2551"/>
          </w:tcPr>
          <w:p>
            <w:pPr>
              <w:spacing w:before="60" w:after="60"/>
            </w:pPr>
            <w:r>
              <w:rPr>
                <w:b/>
              </w:rPr>
              <w:t>No trabalho, depois</w:t>
            </w:r>
          </w:p>
        </w:tc>
        <w:tc>
          <w:tcPr>
            <w:tcW w:type="dxa" w:w="7087"/>
          </w:tcPr>
          <w:p>
            <w:pPr>
              <w:spacing w:before="60" w:after="60"/>
            </w:pPr>
            <w:r>
              <w:t>Revisar os pedidos de alteração que cada analista trata nas semanas seguintes.</w:t>
            </w:r>
          </w:p>
        </w:tc>
      </w:tr>
    </w:tbl>
    <w:p>
      <w:pPr>
        <w:keepNext/>
        <w:pageBreakBefore/>
        <w:spacing w:before="240" w:after="80"/>
      </w:pPr>
      <w:r>
        <w:rPr>
          <w:b/>
          <w:color w:val="5D008F"/>
          <w:sz w:val="28"/>
        </w:rPr>
        <w:t>Seu módulo: o problema e o pacote do caso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Seu curso</w:t>
            </w:r>
          </w:p>
        </w:tc>
      </w:tr>
      <w:tr>
        <w:trPr>
          <w:cantSplit w:val="true"/>
          <w:trHeight w:val="1247"/>
        </w:trPr>
        <w:tc>
          <w:tcPr>
            <w:tcW w:type="dxa" w:w="2551"/>
          </w:tcPr>
          <w:p>
            <w:pPr>
              <w:spacing w:before="60" w:after="60"/>
            </w:pPr>
            <w:r>
              <w:rPr>
                <w:b/>
              </w:rPr>
              <w:t>A decisão que os alunos erram</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O problema</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Pacote do caso</w:t>
            </w:r>
          </w:p>
        </w:tc>
        <w:tc>
          <w:tcPr>
            <w:tcW w:type="dxa" w:w="7087"/>
          </w:tcPr>
          <w:p>
            <w:pPr>
              <w:spacing w:before="60" w:after="60"/>
            </w:pPr>
            <w:r/>
          </w:p>
        </w:tc>
      </w:tr>
      <w:tr>
        <w:trPr>
          <w:cantSplit w:val="true"/>
          <w:trHeight w:val="1247"/>
        </w:trPr>
        <w:tc>
          <w:tcPr>
            <w:tcW w:type="dxa" w:w="2551"/>
            <w:shd w:val="clear" w:color="auto" w:fill="F7F0FB"/>
          </w:tcPr>
          <w:p>
            <w:pPr>
              <w:spacing w:before="60" w:after="60"/>
            </w:pPr>
            <w:r>
              <w:rPr>
                <w:b/>
              </w:rPr>
              <w:t>A regra que resolve a questão</w:t>
            </w:r>
          </w:p>
        </w:tc>
        <w:tc>
          <w:tcPr>
            <w:tcW w:type="dxa" w:w="7087"/>
            <w:shd w:val="clear" w:color="auto" w:fill="F7F0FB"/>
          </w:tcPr>
          <w:p>
            <w:pPr>
              <w:spacing w:before="60" w:after="60"/>
            </w:pPr>
            <w:r/>
          </w:p>
        </w:tc>
      </w:tr>
      <w:tr>
        <w:trPr>
          <w:cantSplit w:val="true"/>
          <w:trHeight w:val="1247"/>
        </w:trPr>
        <w:tc>
          <w:tcPr>
            <w:tcW w:type="dxa" w:w="2551"/>
          </w:tcPr>
          <w:p>
            <w:pPr>
              <w:spacing w:before="60" w:after="60"/>
            </w:pPr>
            <w:r>
              <w:rPr>
                <w:b/>
              </w:rPr>
              <w:t>Resultado esperado</w:t>
            </w:r>
          </w:p>
        </w:tc>
        <w:tc>
          <w:tcPr>
            <w:tcW w:type="dxa" w:w="7087"/>
          </w:tcPr>
          <w:p>
            <w:pPr>
              <w:spacing w:before="60" w:after="60"/>
            </w:pPr>
            <w:r/>
          </w:p>
        </w:tc>
      </w:tr>
    </w:tbl>
    <w:p>
      <w:pPr>
        <w:keepNext/>
        <w:spacing w:before="240" w:after="80"/>
      </w:pPr>
      <w:r>
        <w:rPr>
          <w:b/>
          <w:color w:val="5D008F"/>
          <w:sz w:val="28"/>
        </w:rPr>
        <w:t>Seu módulo: o que os alunos já sabem</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402"/>
            <w:shd w:val="clear" w:color="auto" w:fill="5D008F"/>
          </w:tcPr>
          <w:p>
            <w:pPr>
              <w:spacing w:before="60" w:after="60"/>
            </w:pPr>
            <w:r/>
            <w:r>
              <w:rPr>
                <w:b/>
                <w:color w:val="FFFFFF"/>
              </w:rPr>
              <w:t>Pergunta</w:t>
            </w:r>
          </w:p>
        </w:tc>
        <w:tc>
          <w:tcPr>
            <w:tcW w:type="dxa" w:w="6236"/>
            <w:shd w:val="clear" w:color="auto" w:fill="5D008F"/>
          </w:tcPr>
          <w:p>
            <w:pPr>
              <w:spacing w:before="60" w:after="60"/>
            </w:pPr>
            <w:r/>
            <w:r>
              <w:rPr>
                <w:b/>
                <w:color w:val="FFFFFF"/>
              </w:rPr>
              <w:t>Sua resposta</w:t>
            </w:r>
          </w:p>
        </w:tc>
      </w:tr>
      <w:tr>
        <w:trPr>
          <w:cantSplit w:val="true"/>
          <w:trHeight w:val="1020"/>
        </w:trPr>
        <w:tc>
          <w:tcPr>
            <w:tcW w:type="dxa" w:w="3402"/>
          </w:tcPr>
          <w:p>
            <w:pPr>
              <w:spacing w:before="60" w:after="60"/>
            </w:pPr>
            <w:r>
              <w:rPr>
                <w:b/>
              </w:rPr>
              <w:t>O que eles já sabem fazer?</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O que eles ainda não fizeram?</w:t>
            </w:r>
          </w:p>
        </w:tc>
        <w:tc>
          <w:tcPr>
            <w:tcW w:type="dxa" w:w="6236"/>
            <w:shd w:val="clear" w:color="auto" w:fill="F7F0FB"/>
          </w:tcPr>
          <w:p>
            <w:pPr>
              <w:spacing w:before="60" w:after="60"/>
            </w:pPr>
            <w:r/>
          </w:p>
        </w:tc>
      </w:tr>
      <w:tr>
        <w:trPr>
          <w:cantSplit w:val="true"/>
          <w:trHeight w:val="1020"/>
        </w:trPr>
        <w:tc>
          <w:tcPr>
            <w:tcW w:type="dxa" w:w="3402"/>
          </w:tcPr>
          <w:p>
            <w:pPr>
              <w:spacing w:before="60" w:after="60"/>
            </w:pPr>
            <w:r>
              <w:rPr>
                <w:b/>
              </w:rPr>
              <w:t>No que eles provavelmente acreditam?</w:t>
            </w:r>
          </w:p>
        </w:tc>
        <w:tc>
          <w:tcPr>
            <w:tcW w:type="dxa" w:w="6236"/>
          </w:tcPr>
          <w:p>
            <w:pPr>
              <w:spacing w:before="60" w:after="60"/>
            </w:pPr>
            <w:r/>
          </w:p>
        </w:tc>
      </w:tr>
      <w:tr>
        <w:trPr>
          <w:cantSplit w:val="true"/>
          <w:trHeight w:val="1020"/>
        </w:trPr>
        <w:tc>
          <w:tcPr>
            <w:tcW w:type="dxa" w:w="3402"/>
            <w:shd w:val="clear" w:color="auto" w:fill="F7F0FB"/>
          </w:tcPr>
          <w:p>
            <w:pPr>
              <w:spacing w:before="60" w:after="60"/>
            </w:pPr>
            <w:r>
              <w:rPr>
                <w:b/>
              </w:rPr>
              <w:t>Como você verificou?</w:t>
            </w:r>
          </w:p>
        </w:tc>
        <w:tc>
          <w:tcPr>
            <w:tcW w:type="dxa" w:w="6236"/>
            <w:shd w:val="clear" w:color="auto" w:fill="F7F0FB"/>
          </w:tcPr>
          <w:p>
            <w:pPr>
              <w:spacing w:before="60" w:after="60"/>
            </w:pPr>
            <w:r/>
          </w:p>
        </w:tc>
      </w:tr>
    </w:tbl>
    <w:p>
      <w:pPr>
        <w:keepNext/>
        <w:pageBreakBefore/>
        <w:spacing w:before="240" w:after="80"/>
      </w:pPr>
      <w:r>
        <w:rPr>
          <w:b/>
          <w:color w:val="5D008F"/>
          <w:sz w:val="28"/>
        </w:rPr>
        <w:t>Seu módulo: a sequência e a orientação em cada etapa</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587"/>
            <w:shd w:val="clear" w:color="auto" w:fill="5D008F"/>
          </w:tcPr>
          <w:p>
            <w:pPr>
              <w:spacing w:before="60" w:after="60"/>
            </w:pPr>
            <w:r/>
            <w:r>
              <w:rPr>
                <w:b/>
                <w:color w:val="FFFFFF"/>
              </w:rPr>
              <w:t>Etapa</w:t>
            </w:r>
          </w:p>
        </w:tc>
        <w:tc>
          <w:tcPr>
            <w:tcW w:type="dxa" w:w="2835"/>
            <w:shd w:val="clear" w:color="auto" w:fill="5D008F"/>
          </w:tcPr>
          <w:p>
            <w:pPr>
              <w:spacing w:before="60" w:after="60"/>
            </w:pPr>
            <w:r/>
            <w:r>
              <w:rPr>
                <w:b/>
                <w:color w:val="FFFFFF"/>
              </w:rPr>
              <w:t>O que os alunos fazem</w:t>
            </w:r>
          </w:p>
        </w:tc>
        <w:tc>
          <w:tcPr>
            <w:tcW w:type="dxa" w:w="1247"/>
            <w:shd w:val="clear" w:color="auto" w:fill="5D008F"/>
          </w:tcPr>
          <w:p>
            <w:pPr>
              <w:spacing w:before="60" w:after="60"/>
            </w:pPr>
            <w:r/>
            <w:r>
              <w:rPr>
                <w:b/>
                <w:color w:val="FFFFFF"/>
              </w:rPr>
              <w:t>Nível de orientação</w:t>
            </w:r>
          </w:p>
        </w:tc>
        <w:tc>
          <w:tcPr>
            <w:tcW w:type="dxa" w:w="2268"/>
            <w:shd w:val="clear" w:color="auto" w:fill="5D008F"/>
          </w:tcPr>
          <w:p>
            <w:pPr>
              <w:spacing w:before="60" w:after="60"/>
            </w:pPr>
            <w:r/>
            <w:r>
              <w:rPr>
                <w:b/>
                <w:color w:val="FFFFFF"/>
              </w:rPr>
              <w:t>Apoio disponível</w:t>
            </w:r>
          </w:p>
        </w:tc>
        <w:tc>
          <w:tcPr>
            <w:tcW w:type="dxa" w:w="1701"/>
            <w:shd w:val="clear" w:color="auto" w:fill="5D008F"/>
          </w:tcPr>
          <w:p>
            <w:pPr>
              <w:spacing w:before="60" w:after="60"/>
            </w:pPr>
            <w:r/>
            <w:r>
              <w:rPr>
                <w:b/>
                <w:color w:val="FFFFFF"/>
              </w:rPr>
              <w:t>Método</w:t>
            </w:r>
          </w:p>
        </w:tc>
      </w:tr>
      <w:tr>
        <w:trPr>
          <w:cantSplit w:val="true"/>
          <w:trHeight w:val="1134"/>
        </w:trPr>
        <w:tc>
          <w:tcPr>
            <w:tcW w:type="dxa" w:w="1587"/>
          </w:tcPr>
          <w:p>
            <w:pPr>
              <w:spacing w:before="60" w:after="60"/>
            </w:pPr>
            <w:r>
              <w:rPr>
                <w:b/>
              </w:rPr>
              <w:t>Primeira tentativa</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Exemplo resolvido</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Prática guiada</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Comparar raciocínios</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Criar a própria ferramenta</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r>
        <w:trPr>
          <w:cantSplit w:val="true"/>
          <w:trHeight w:val="1134"/>
        </w:trPr>
        <w:tc>
          <w:tcPr>
            <w:tcW w:type="dxa" w:w="1587"/>
            <w:shd w:val="clear" w:color="auto" w:fill="F7F0FB"/>
          </w:tcPr>
          <w:p>
            <w:pPr>
              <w:spacing w:before="60" w:after="60"/>
            </w:pPr>
            <w:r>
              <w:rPr>
                <w:b/>
              </w:rPr>
              <w:t>Caso novo</w:t>
            </w:r>
          </w:p>
        </w:tc>
        <w:tc>
          <w:tcPr>
            <w:tcW w:type="dxa" w:w="2835"/>
            <w:shd w:val="clear" w:color="auto" w:fill="F7F0FB"/>
          </w:tcPr>
          <w:p>
            <w:pPr>
              <w:spacing w:before="60" w:after="60"/>
            </w:pPr>
            <w:r/>
          </w:p>
        </w:tc>
        <w:tc>
          <w:tcPr>
            <w:tcW w:type="dxa" w:w="1247"/>
            <w:shd w:val="clear" w:color="auto" w:fill="F7F0FB"/>
          </w:tcPr>
          <w:p>
            <w:pPr>
              <w:spacing w:before="60" w:after="60"/>
            </w:pPr>
            <w:r/>
          </w:p>
        </w:tc>
        <w:tc>
          <w:tcPr>
            <w:tcW w:type="dxa" w:w="2268"/>
            <w:shd w:val="clear" w:color="auto" w:fill="F7F0FB"/>
          </w:tcPr>
          <w:p>
            <w:pPr>
              <w:spacing w:before="60" w:after="60"/>
            </w:pPr>
            <w:r/>
          </w:p>
        </w:tc>
        <w:tc>
          <w:tcPr>
            <w:tcW w:type="dxa" w:w="1701"/>
            <w:shd w:val="clear" w:color="auto" w:fill="F7F0FB"/>
          </w:tcPr>
          <w:p>
            <w:pPr>
              <w:spacing w:before="60" w:after="60"/>
            </w:pPr>
            <w:r/>
          </w:p>
        </w:tc>
      </w:tr>
      <w:tr>
        <w:trPr>
          <w:cantSplit w:val="true"/>
          <w:trHeight w:val="1134"/>
        </w:trPr>
        <w:tc>
          <w:tcPr>
            <w:tcW w:type="dxa" w:w="1587"/>
          </w:tcPr>
          <w:p>
            <w:pPr>
              <w:spacing w:before="60" w:after="60"/>
            </w:pPr>
            <w:r>
              <w:rPr>
                <w:b/>
              </w:rPr>
              <w:t>Encerramento</w:t>
            </w:r>
          </w:p>
        </w:tc>
        <w:tc>
          <w:tcPr>
            <w:tcW w:type="dxa" w:w="2835"/>
          </w:tcPr>
          <w:p>
            <w:pPr>
              <w:spacing w:before="60" w:after="60"/>
            </w:pPr>
            <w:r/>
          </w:p>
        </w:tc>
        <w:tc>
          <w:tcPr>
            <w:tcW w:type="dxa" w:w="1247"/>
          </w:tcPr>
          <w:p>
            <w:pPr>
              <w:spacing w:before="60" w:after="60"/>
            </w:pPr>
            <w:r/>
          </w:p>
        </w:tc>
        <w:tc>
          <w:tcPr>
            <w:tcW w:type="dxa" w:w="2268"/>
          </w:tcPr>
          <w:p>
            <w:pPr>
              <w:spacing w:before="60" w:after="60"/>
            </w:pPr>
            <w:r/>
          </w:p>
        </w:tc>
        <w:tc>
          <w:tcPr>
            <w:tcW w:type="dxa" w:w="1701"/>
          </w:tcPr>
          <w:p>
            <w:pPr>
              <w:spacing w:before="60" w:after="60"/>
            </w:pPr>
            <w:r/>
          </w:p>
        </w:tc>
      </w:tr>
    </w:tbl>
    <w:p>
      <w:pPr>
        <w:keepNext/>
        <w:pageBreakBefore/>
        <w:spacing w:before="240" w:after="80"/>
      </w:pPr>
      <w:r>
        <w:rPr>
          <w:b/>
          <w:color w:val="5D008F"/>
          <w:sz w:val="28"/>
        </w:rPr>
        <w:t>Seu módulo: a avaliação com o caso novo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Item</w:t>
            </w:r>
          </w:p>
        </w:tc>
        <w:tc>
          <w:tcPr>
            <w:tcW w:type="dxa" w:w="7087"/>
            <w:shd w:val="clear" w:color="auto" w:fill="5D008F"/>
          </w:tcPr>
          <w:p>
            <w:pPr>
              <w:spacing w:before="60" w:after="60"/>
            </w:pPr>
            <w:r/>
            <w:r>
              <w:rPr>
                <w:b/>
                <w:color w:val="FFFFFF"/>
              </w:rPr>
              <w:t>Seu curso</w:t>
            </w:r>
          </w:p>
        </w:tc>
      </w:tr>
      <w:tr>
        <w:trPr>
          <w:cantSplit w:val="true"/>
          <w:trHeight w:val="1077"/>
        </w:trPr>
        <w:tc>
          <w:tcPr>
            <w:tcW w:type="dxa" w:w="2551"/>
          </w:tcPr>
          <w:p>
            <w:pPr>
              <w:spacing w:before="60" w:after="60"/>
            </w:pPr>
            <w:r>
              <w:rPr>
                <w:b/>
              </w:rPr>
              <w:t>O caso novo</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Formato da resposta</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Critério 1</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Critério 2</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Critério 3</w:t>
            </w:r>
          </w:p>
        </w:tc>
        <w:tc>
          <w:tcPr>
            <w:tcW w:type="dxa" w:w="7087"/>
          </w:tcPr>
          <w:p>
            <w:pPr>
              <w:spacing w:before="60" w:after="60"/>
            </w:pPr>
            <w:r/>
          </w:p>
        </w:tc>
      </w:tr>
      <w:tr>
        <w:trPr>
          <w:cantSplit w:val="true"/>
          <w:trHeight w:val="1077"/>
        </w:trPr>
        <w:tc>
          <w:tcPr>
            <w:tcW w:type="dxa" w:w="2551"/>
            <w:shd w:val="clear" w:color="auto" w:fill="F7F0FB"/>
          </w:tcPr>
          <w:p>
            <w:pPr>
              <w:spacing w:before="60" w:after="60"/>
            </w:pPr>
            <w:r>
              <w:rPr>
                <w:b/>
              </w:rPr>
              <w:t>Verificação de fatos</w:t>
            </w:r>
          </w:p>
        </w:tc>
        <w:tc>
          <w:tcPr>
            <w:tcW w:type="dxa" w:w="7087"/>
            <w:shd w:val="clear" w:color="auto" w:fill="F7F0FB"/>
          </w:tcPr>
          <w:p>
            <w:pPr>
              <w:spacing w:before="60" w:after="60"/>
            </w:pPr>
            <w:r/>
          </w:p>
        </w:tc>
      </w:tr>
      <w:tr>
        <w:trPr>
          <w:cantSplit w:val="true"/>
          <w:trHeight w:val="1077"/>
        </w:trPr>
        <w:tc>
          <w:tcPr>
            <w:tcW w:type="dxa" w:w="2551"/>
          </w:tcPr>
          <w:p>
            <w:pPr>
              <w:spacing w:before="60" w:after="60"/>
            </w:pPr>
            <w:r>
              <w:rPr>
                <w:b/>
              </w:rPr>
              <w:t>No trabalho, depois</w:t>
            </w:r>
          </w:p>
        </w:tc>
        <w:tc>
          <w:tcPr>
            <w:tcW w:type="dxa" w:w="7087"/>
          </w:tcPr>
          <w:p>
            <w:pPr>
              <w:spacing w:before="60" w:after="60"/>
            </w:pPr>
            <w:r/>
          </w:p>
        </w:tc>
      </w:tr>
    </w:tbl>
    <w:p>
      <w:pPr>
        <w:keepNext/>
        <w:pageBreakBefore/>
        <w:spacing w:before="240" w:after="80"/>
      </w:pPr>
      <w:r>
        <w:rPr>
          <w:b/>
          <w:color w:val="5D008F"/>
          <w:sz w:val="28"/>
        </w:rPr>
        <w:t>Confira seu plano</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5953"/>
            <w:shd w:val="clear" w:color="auto" w:fill="5D008F"/>
          </w:tcPr>
          <w:p>
            <w:pPr>
              <w:spacing w:before="60" w:after="60"/>
            </w:pPr>
            <w:r/>
            <w:r>
              <w:rPr>
                <w:b/>
                <w:color w:val="FFFFFF"/>
              </w:rPr>
              <w:t>Verificação</w:t>
            </w:r>
          </w:p>
        </w:tc>
        <w:tc>
          <w:tcPr>
            <w:tcW w:type="dxa" w:w="3685"/>
            <w:shd w:val="clear" w:color="auto" w:fill="5D008F"/>
          </w:tcPr>
          <w:p>
            <w:pPr>
              <w:spacing w:before="60" w:after="60"/>
            </w:pPr>
            <w:r/>
            <w:r>
              <w:rPr>
                <w:b/>
                <w:color w:val="FFFFFF"/>
              </w:rPr>
              <w:t>Sim ou observações</w:t>
            </w:r>
          </w:p>
        </w:tc>
      </w:tr>
      <w:tr>
        <w:trPr>
          <w:cantSplit w:val="true"/>
          <w:trHeight w:val="850"/>
        </w:trPr>
        <w:tc>
          <w:tcPr>
            <w:tcW w:type="dxa" w:w="5953"/>
          </w:tcPr>
          <w:p>
            <w:pPr>
              <w:spacing w:before="60" w:after="60"/>
            </w:pPr>
            <w:r>
              <w:t>O pacote do caso dá aos alunos tudo de que a decisão precisa?</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Você verificou o que os alunos já sabem, em vez de presumir?</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A ordem de abertura combina com o conhecimento prévio, com um exemplo resolvido primeiro, se necessário?</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Há um exemplo resolvido antes da prática guiada?</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O apoio diminui de etapa em etapa, terminando sem nenhum no caso novo?</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O caso novo é diferente o bastante para que a primeira resposta não possa ser reaproveitada?</w:t>
            </w:r>
          </w:p>
        </w:tc>
        <w:tc>
          <w:tcPr>
            <w:tcW w:type="dxa" w:w="3685"/>
            <w:shd w:val="clear" w:color="auto" w:fill="F7F0FB"/>
          </w:tcPr>
          <w:p>
            <w:pPr>
              <w:spacing w:before="60" w:after="60"/>
            </w:pPr>
            <w:r/>
          </w:p>
        </w:tc>
      </w:tr>
      <w:tr>
        <w:trPr>
          <w:cantSplit w:val="true"/>
          <w:trHeight w:val="850"/>
        </w:trPr>
        <w:tc>
          <w:tcPr>
            <w:tcW w:type="dxa" w:w="5953"/>
          </w:tcPr>
          <w:p>
            <w:pPr>
              <w:spacing w:before="60" w:after="60"/>
            </w:pPr>
            <w:r>
              <w:t>A tarefa final avalia a decisão e o raciocínio por trás dela?</w:t>
            </w:r>
          </w:p>
        </w:tc>
        <w:tc>
          <w:tcPr>
            <w:tcW w:type="dxa" w:w="3685"/>
          </w:tcPr>
          <w:p>
            <w:pPr>
              <w:spacing w:before="60" w:after="60"/>
            </w:pPr>
            <w:r/>
          </w:p>
        </w:tc>
      </w:tr>
      <w:tr>
        <w:trPr>
          <w:cantSplit w:val="true"/>
          <w:trHeight w:val="850"/>
        </w:trPr>
        <w:tc>
          <w:tcPr>
            <w:tcW w:type="dxa" w:w="5953"/>
            <w:shd w:val="clear" w:color="auto" w:fill="F7F0FB"/>
          </w:tcPr>
          <w:p>
            <w:pPr>
              <w:spacing w:before="60" w:after="60"/>
            </w:pPr>
            <w:r>
              <w:t>Você sabe como vai verificar o desempenho no trabalho depois?</w:t>
            </w:r>
          </w:p>
        </w:tc>
        <w:tc>
          <w:tcPr>
            <w:tcW w:type="dxa" w:w="3685"/>
            <w:shd w:val="clear" w:color="auto" w:fill="F7F0FB"/>
          </w:tcPr>
          <w:p>
            <w:pPr>
              <w:spacing w:before="60" w:after="60"/>
            </w:pPr>
            <w:r/>
          </w:p>
        </w:tc>
      </w:tr>
    </w:tbl>
    <w:p>
      <w:pPr>
        <w:spacing w:before="160"/>
      </w:pPr>
      <w:r>
        <w:rPr>
          <w:i/>
          <w:color w:val="5A5766"/>
        </w:rPr>
        <w:t>Adaptação própria da Coursebox. Fontes dos métodos: Collins, A., Brown, J. S. e Newman, S. E. (1989) Cognitive apprenticeship; Savery, J. R. (2006) Overview of problem-based learning; Sinha, T. e Kapur, M. (2021) When problem solving followed by instruction works. Este planejador não gera pontuação: um plano preenchido não prova que os alunos vão decidir bem no trabalho. Faça um piloto e confira o resultado.</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modelo gratuito  |  página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