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Module Design Sheet</w:t>
      </w:r>
    </w:p>
    <w:p>
      <w:r>
        <w:rPr>
          <w:color w:val="5A5766"/>
          <w:sz w:val="22"/>
        </w:rPr>
        <w:t>A one-page plan for a single training module: one objective, the practice, the check and how you will know it worked. Fill it in before you build any screens. It is a Coursebox planning sheet, not a scored instrument.</w:t>
      </w:r>
    </w:p>
    <w:p>
      <w:r>
        <w:rPr>
          <w:i/>
          <w:color w:val="5A5766"/>
          <w:sz w:val="18"/>
        </w:rPr>
        <w:t>From the Coursebox blog: coursebox.ai/blog/types-of-training-modules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Your module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11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Field</w:t>
            </w:r>
          </w:p>
        </w:tc>
        <w:tc>
          <w:tcPr>
            <w:tcW w:type="dxa" w:w="652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module</w:t>
            </w:r>
          </w:p>
        </w:tc>
      </w:tr>
      <w:tr>
        <w:trPr>
          <w:cantSplit w:val="true"/>
          <w:trHeight w:val="539"/>
        </w:trPr>
        <w:tc>
          <w:tcPr>
            <w:tcW w:type="dxa" w:w="3118"/>
          </w:tcPr>
          <w:p>
            <w:pPr>
              <w:spacing w:before="60" w:after="60"/>
            </w:pPr>
            <w:r/>
            <w:r>
              <w:rPr>
                <w:b/>
              </w:rPr>
              <w:t>Module title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39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Performance problem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39"/>
        </w:trPr>
        <w:tc>
          <w:tcPr>
            <w:tcW w:type="dxa" w:w="3118"/>
          </w:tcPr>
          <w:p>
            <w:pPr>
              <w:spacing w:before="60" w:after="60"/>
            </w:pPr>
            <w:r/>
            <w:r>
              <w:rPr>
                <w:b/>
              </w:rPr>
              <w:t>Audience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39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Module type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39"/>
        </w:trPr>
        <w:tc>
          <w:tcPr>
            <w:tcW w:type="dxa" w:w="3118"/>
          </w:tcPr>
          <w:p>
            <w:pPr>
              <w:spacing w:before="60" w:after="60"/>
            </w:pPr>
            <w:r/>
            <w:r>
              <w:rPr>
                <w:b/>
              </w:rPr>
              <w:t>Learning objective (condition, behaviour, standard)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39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Prerequisites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39"/>
        </w:trPr>
        <w:tc>
          <w:tcPr>
            <w:tcW w:type="dxa" w:w="3118"/>
          </w:tcPr>
          <w:p>
            <w:pPr>
              <w:spacing w:before="60" w:after="60"/>
            </w:pPr>
            <w:r/>
            <w:r>
              <w:rPr>
                <w:b/>
              </w:rPr>
              <w:t>Sections and minutes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39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Practice items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39"/>
        </w:trPr>
        <w:tc>
          <w:tcPr>
            <w:tcW w:type="dxa" w:w="3118"/>
          </w:tcPr>
          <w:p>
            <w:pPr>
              <w:spacing w:before="60" w:after="60"/>
            </w:pPr>
            <w:r/>
            <w:r>
              <w:rPr>
                <w:b/>
              </w:rPr>
              <w:t>Check and pass rule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39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Format and device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39"/>
        </w:trPr>
        <w:tc>
          <w:tcPr>
            <w:tcW w:type="dxa" w:w="3118"/>
          </w:tcPr>
          <w:p>
            <w:pPr>
              <w:spacing w:before="60" w:after="60"/>
            </w:pPr>
            <w:r/>
            <w:r>
              <w:rPr>
                <w:b/>
              </w:rPr>
              <w:t>Accessibility checks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39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Publish target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39"/>
        </w:trPr>
        <w:tc>
          <w:tcPr>
            <w:tcW w:type="dxa" w:w="3118"/>
          </w:tcPr>
          <w:p>
            <w:pPr>
              <w:spacing w:before="60" w:after="60"/>
            </w:pPr>
            <w:r/>
            <w:r>
              <w:rPr>
                <w:b/>
              </w:rPr>
              <w:t>Evaluation measure and date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Sign-off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11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Role</w:t>
            </w:r>
          </w:p>
        </w:tc>
        <w:tc>
          <w:tcPr>
            <w:tcW w:type="dxa" w:w="652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Name and date</w:t>
            </w:r>
          </w:p>
        </w:tc>
      </w:tr>
      <w:tr>
        <w:trPr>
          <w:cantSplit w:val="true"/>
          <w:trHeight w:val="454"/>
        </w:trPr>
        <w:tc>
          <w:tcPr>
            <w:tcW w:type="dxa" w:w="3118"/>
          </w:tcPr>
          <w:p>
            <w:pPr>
              <w:spacing w:before="60" w:after="60"/>
            </w:pPr>
            <w:r/>
            <w:r>
              <w:rPr>
                <w:b/>
              </w:rPr>
              <w:t>Owner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454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SME reviewer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454"/>
        </w:trPr>
        <w:tc>
          <w:tcPr>
            <w:tcW w:type="dxa" w:w="3118"/>
          </w:tcPr>
          <w:p>
            <w:pPr>
              <w:spacing w:before="60" w:after="60"/>
            </w:pPr>
            <w:r/>
            <w:r>
              <w:rPr>
                <w:b/>
              </w:rPr>
              <w:t>Review date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>Keep a coherent objective and enough practice. Split separate tasks when that helps learning, not by counting the word "and".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Example: Refunds without a receipt (homewares retailer, hypothetical)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11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Field</w:t>
            </w:r>
          </w:p>
        </w:tc>
        <w:tc>
          <w:tcPr>
            <w:tcW w:type="dxa" w:w="652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Refund module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before="60" w:after="60"/>
            </w:pPr>
            <w:r/>
            <w:r>
              <w:rPr>
                <w:b/>
              </w:rPr>
              <w:t>Module title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/>
            <w:r>
              <w:t>Refunds without a receipt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Performance problem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  <w:r>
              <w:t>Cash refunds paid on no-receipt returns at three stores; counter arguments when staff get the rule wrong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before="60" w:after="60"/>
            </w:pPr>
            <w:r/>
            <w:r>
              <w:rPr>
                <w:b/>
              </w:rPr>
              <w:t>Audience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/>
            <w:r>
              <w:t>Casual and part-time store team members on 4 to 8 hour shifts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Module type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  <w:r>
              <w:t>Procedure, with one judgement branch (escalate or not)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before="60" w:after="60"/>
            </w:pPr>
            <w:r/>
            <w:r>
              <w:rPr>
                <w:b/>
              </w:rPr>
              <w:t>Learning objective (condition, behaviour, standard)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/>
            <w:r>
              <w:t>Given a no-receipt return, process it under the policy: store credit at the lowest 30-day price, photo ID recorded, duty manager call over $150 or on a red flag, 7-day hold when there is no ID, policy explained once. Progression: 4 of 5 with both escalations correct, then correct every miss and observe the full task before independent work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Prerequisites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  <w:r>
              <w:t>Can process a standard receipted return in the POS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before="60" w:after="60"/>
            </w:pPr>
            <w:r/>
            <w:r>
              <w:rPr>
                <w:b/>
              </w:rPr>
              <w:t>Sections and minutes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/>
            <w:r>
              <w:t>Hook 1, Explain 2, Show 3, Practise 4, Check 2, plus a job aid card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Practice items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  <w:r>
              <w:t>Five counter cases: $40 kettle, $210 coffee machine, cash request on a $25 item, $18 flagged tea towels, no photo ID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before="60" w:after="60"/>
            </w:pPr>
            <w:r/>
            <w:r>
              <w:rPr>
                <w:b/>
              </w:rPr>
              <w:t>Check and pass rule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/>
            <w:r>
              <w:t>Five new scenario questions; 4 of 5 including both escalations prompts supervised checking. Correct every miss and verify the full task, including no ID. Record failed, not observed and not applicable separately. Approval controls remain.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Format and device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  <w:r>
              <w:t>Self-paced interactive module on a phone or the back-room tablet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before="60" w:after="60"/>
            </w:pPr>
            <w:r/>
            <w:r>
              <w:rPr>
                <w:b/>
              </w:rPr>
              <w:t>Accessibility checks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/>
            <w:r>
              <w:t>Captions, alt text on POS screenshots, colour contrast, keyboard path; WCAG 2.2 AA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Publish target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  <w:r>
              <w:t>SCORM 1.2 to the retailer's LMS; due within 14 days; job aid printed for every register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before="60" w:after="60"/>
            </w:pPr>
            <w:r/>
            <w:r>
              <w:rPr>
                <w:b/>
              </w:rPr>
              <w:t>Evaluation measure and date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/>
            <w:r>
              <w:t>POS report at day 30: cash refunds on no-receipt returns (target zero) and manager approval codes on returns over $150 or with a red flag; follow-up questions at day 7 and day 30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Owner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  <w:r>
              <w:t>Store operations lead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before="60" w:after="60"/>
            </w:pPr>
            <w:r/>
            <w:r>
              <w:rPr>
                <w:b/>
              </w:rPr>
              <w:t>SME reviewer</w:t>
            </w:r>
          </w:p>
        </w:tc>
        <w:tc>
          <w:tcPr>
            <w:tcW w:type="dxa" w:w="6520"/>
          </w:tcPr>
          <w:p>
            <w:pPr>
              <w:spacing w:before="60" w:after="60"/>
            </w:pPr>
            <w:r/>
            <w:r>
              <w:t>Store manager at the pilot store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Review date</w:t>
            </w:r>
          </w:p>
        </w:tc>
        <w:tc>
          <w:tcPr>
            <w:tcW w:type="dxa" w:w="6520"/>
            <w:shd w:val="clear" w:color="auto" w:fill="F7F0FB"/>
          </w:tcPr>
          <w:p>
            <w:pPr>
              <w:spacing w:before="60" w:after="60"/>
            </w:pPr>
            <w:r/>
            <w:r>
              <w:t>30 days after launch, with the POS report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