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Microlearning Lesson Template</w:t>
      </w:r>
    </w:p>
    <w:p>
      <w:r>
        <w:rPr>
          <w:color w:val="5A5766"/>
          <w:sz w:val="22"/>
        </w:rPr>
        <w:t>One page per lesson, in five parts: the moment, the behaviour, the lesson, the check and the follow-up, plus a follow-up schedule for a series. It is a Coursebox planning aid and gives no score. A hypothetical forecourt series is filled in as an example, followed by blank pages for your own lessons.</w:t>
      </w:r>
    </w:p>
    <w:p>
      <w:r>
        <w:rPr>
          <w:i/>
          <w:color w:val="5A5766"/>
          <w:sz w:val="18"/>
        </w:rPr>
        <w:t>From the Coursebox blog: coursebox.ai/blog/microlearning-examples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template</w:t>
      </w:r>
    </w:p>
    <w:p>
      <w:r>
        <w:t>The five parts are the planning frame used in this guide, not a universal definition of microlearning. Duration follows the objective, and a short lesson may support supervised practice rather than replace it.</w:t>
      </w:r>
    </w:p>
    <w:p>
      <w:pPr>
        <w:pStyle w:val="ListBullet"/>
      </w:pPr>
      <w:r>
        <w:t>Start with the moment, not the format. Write where the person is and what is happening when they need the lesson.</w:t>
      </w:r>
    </w:p>
    <w:p>
      <w:pPr>
        <w:pStyle w:val="ListBullet"/>
      </w:pPr>
      <w:r>
        <w:t>Write the behaviour as one action they will take. If you find yourself writing "they will understand", ask what they would do with it, and write that instead.</w:t>
      </w:r>
    </w:p>
    <w:p>
      <w:pPr>
        <w:pStyle w:val="ListBullet"/>
      </w:pPr>
      <w:r>
        <w:t>Pick the job the lesson does from the table below, then choose a format that fits it.</w:t>
      </w:r>
    </w:p>
    <w:p>
      <w:pPr>
        <w:pStyle w:val="ListBullet"/>
      </w:pPr>
      <w:r>
        <w:t>Write the lesson and the check in full: the actual card text, the actual question and the model answer.</w:t>
      </w:r>
    </w:p>
    <w:p>
      <w:pPr>
        <w:pStyle w:val="ListBullet"/>
      </w:pPr>
      <w:r>
        <w:t>Fill in the follow-up before you build anything: when it comes back, where it arrives, who sends it and what changes.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Before you fill it in: is this a lesson?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If yes</w:t>
            </w:r>
          </w:p>
        </w:tc>
        <w:tc>
          <w:tcPr>
            <w:tcW w:type="dxa" w:w="311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If no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Can you name where the person is when they need this?</w:t>
            </w:r>
          </w:p>
        </w:tc>
        <w:tc>
          <w:tcPr>
            <w:tcW w:type="dxa" w:w="3118"/>
          </w:tcPr>
          <w:p>
            <w:pPr>
              <w:spacing w:before="60" w:after="60"/>
            </w:pPr>
            <w:r/>
            <w:r>
              <w:t>Write it in The moment.</w:t>
            </w:r>
          </w:p>
        </w:tc>
        <w:tc>
          <w:tcPr>
            <w:tcW w:type="dxa" w:w="3118"/>
          </w:tcPr>
          <w:p>
            <w:pPr>
              <w:spacing w:before="60" w:after="60"/>
            </w:pPr>
            <w:r/>
            <w:r>
              <w:t>It is a topic, not a moment. Topics belong in a course; list the moments inside it first.</w:t>
            </w:r>
          </w:p>
        </w:tc>
      </w:tr>
      <w:tr>
        <w:trPr>
          <w:cantSplit w:val="true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Can you write the one thing they will do differently, as an action?</w:t>
            </w:r>
          </w:p>
        </w:tc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t>Write it in The behaviour.</w:t>
            </w:r>
          </w:p>
        </w:tc>
        <w:tc>
          <w:tcPr>
            <w:tcW w:type="dxa" w:w="3118"/>
            <w:shd w:val="clear" w:color="auto" w:fill="F7F0FB"/>
          </w:tcPr>
          <w:p>
            <w:pPr>
              <w:spacing w:before="60" w:after="60"/>
            </w:pPr>
            <w:r/>
            <w:r>
              <w:t>That is knowledge, not behaviour. Ask what they would do with it, and write that.</w:t>
            </w:r>
          </w:p>
        </w:tc>
      </w:tr>
      <w:tr>
        <w:trPr>
          <w:cantSplit w:val="true"/>
        </w:trPr>
        <w:tc>
          <w:tcPr>
            <w:tcW w:type="dxa" w:w="3402"/>
          </w:tcPr>
          <w:p>
            <w:pPr>
              <w:spacing w:before="60" w:after="60"/>
            </w:pPr>
            <w:r/>
            <w:r>
              <w:rPr>
                <w:b/>
              </w:rPr>
              <w:t>Does the lesson do one job from the table below?</w:t>
            </w:r>
          </w:p>
        </w:tc>
        <w:tc>
          <w:tcPr>
            <w:tcW w:type="dxa" w:w="3118"/>
          </w:tcPr>
          <w:p>
            <w:pPr>
              <w:spacing w:before="60" w:after="60"/>
            </w:pPr>
            <w:r/>
            <w:r>
              <w:t>Use the formats that fit that job.</w:t>
            </w:r>
          </w:p>
        </w:tc>
        <w:tc>
          <w:tcPr>
            <w:tcW w:type="dxa" w:w="3118"/>
          </w:tcPr>
          <w:p>
            <w:pPr>
              <w:spacing w:before="60" w:after="60"/>
            </w:pPr>
            <w:r/>
            <w:r>
              <w:t>If it does two jobs, split it into two lessons.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Choose the format from the job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The job</w:t>
            </w:r>
          </w:p>
        </w:tc>
        <w:tc>
          <w:tcPr>
            <w:tcW w:type="dxa" w:w="351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Formats that fit</w:t>
            </w:r>
          </w:p>
        </w:tc>
        <w:tc>
          <w:tcPr>
            <w:tcW w:type="dxa" w:w="351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Formats that may be insufficient on their own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Recall a fact under pressure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  <w:r>
              <w:t>Card sets, one question a week, retrieval quizzes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  <w:r>
              <w:t>Long video, wall-chart infographics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Follow a procedure in order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/>
            <w:r>
              <w:t>Short screen or hands-on video plus a job aid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/>
            <w:r>
              <w:t>Written policy, narrated slides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Make a judgement call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  <w:r>
              <w:t>One-decision scenarios, the same moment handled two ways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  <w:r>
              <w:t>Quizzes with one obviously right answer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Notice a condition before acting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/>
            <w:r>
              <w:t>Paired examples, annotated photos, spot the fake</w:t>
            </w:r>
          </w:p>
        </w:tc>
        <w:tc>
          <w:tcPr>
            <w:tcW w:type="dxa" w:w="3515"/>
            <w:shd w:val="clear" w:color="auto" w:fill="F7F0FB"/>
          </w:tcPr>
          <w:p>
            <w:pPr>
              <w:spacing w:before="60" w:after="60"/>
            </w:pPr>
            <w:r/>
            <w:r>
              <w:t>Definitions and checklists on their own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Change a habit they already understand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  <w:r>
              <w:t>Before and after side by side, a prompt at the moment</w:t>
            </w:r>
          </w:p>
        </w:tc>
        <w:tc>
          <w:tcPr>
            <w:tcW w:type="dxa" w:w="3515"/>
          </w:tcPr>
          <w:p>
            <w:pPr>
              <w:spacing w:before="60" w:after="60"/>
            </w:pPr>
            <w:r/>
            <w:r>
              <w:t>Any lesson delivered away from the moment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lesson 1 of the forecourt series</w:t>
      </w:r>
    </w:p>
    <w:p>
      <w:r>
        <w:t>Hypothetical example; the business, the people and the numbers are illustrative. A family-owned chain of 8 highway service stations on the NSW Mid North Coast has 72 console operators, 9 at each site, about two thirds of them casual. Sunil, the area operations manager, asked for "forecourt training". It became five lessons, one per moment. This is the first.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 detail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 1: the drive-off record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/>
            <w:r>
              <w:rPr>
                <w:b/>
              </w:rPr>
              <w:t>Who it is for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  <w:r>
              <w:t>72 console operators, on their own phones in a quiet period on shift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The job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  <w:r>
              <w:t>Recall under pressure</w:t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before="60" w:after="60"/>
            </w:pPr>
            <w:r/>
            <w:r>
              <w:rPr>
                <w:b/>
              </w:rPr>
              <w:t>Format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  <w:r>
              <w:t>One card, then one question in the staff group chat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Length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  <w:r>
              <w:t>Under a minute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The five parts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to write</w:t>
            </w:r>
          </w:p>
        </w:tc>
        <w:tc>
          <w:tcPr>
            <w:tcW w:type="dxa" w:w="498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 1: the drive-off record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60" w:after="60"/>
            </w:pPr>
            <w:r/>
            <w:r>
              <w:rPr>
                <w:b/>
              </w:rPr>
              <w:t>The moment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Where they are and what is happening</w:t>
            </w:r>
          </w:p>
        </w:tc>
        <w:tc>
          <w:tcPr>
            <w:tcW w:type="dxa" w:w="4989"/>
          </w:tcPr>
          <w:p>
            <w:pPr>
              <w:spacing w:before="60" w:after="60"/>
            </w:pPr>
            <w:r/>
            <w:r>
              <w:t>A silver hatchback pulls away from pump 3. The nozzle is back, and nobody has come in to pay.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The behaviour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The one thing they do differently, as an action</w:t>
            </w:r>
          </w:p>
        </w:tc>
        <w:tc>
          <w:tcPr>
            <w:tcW w:type="dxa" w:w="4989"/>
            <w:shd w:val="clear" w:color="auto" w:fill="F7F0FB"/>
          </w:tcPr>
          <w:p>
            <w:pPr>
              <w:spacing w:before="60" w:after="60"/>
            </w:pPr>
            <w:r/>
            <w:r>
              <w:t>Write down the five drive-off details straight away. Never follow the vehicle or step in front of it.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60" w:after="60"/>
            </w:pPr>
            <w:r/>
            <w:r>
              <w:rPr>
                <w:b/>
              </w:rPr>
              <w:t>The lesson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The artefact in full: the card, the script or the photo</w:t>
            </w:r>
          </w:p>
        </w:tc>
        <w:tc>
          <w:tcPr>
            <w:tcW w:type="dxa" w:w="4989"/>
          </w:tcPr>
          <w:p>
            <w:pPr>
              <w:spacing w:before="60" w:after="60"/>
            </w:pPr>
            <w:r/>
            <w:r>
              <w:t>One card: "Drive-off? Write five things now: pump number, time, number plate, make and colour, which way it went. Then call your site manager. Do not follow."</w:t>
            </w:r>
          </w:p>
        </w:tc>
      </w:tr>
      <w:tr>
        <w:trPr>
          <w:cantSplit w:val="true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The check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One question answered from the situation, with the model answer</w:t>
            </w:r>
          </w:p>
        </w:tc>
        <w:tc>
          <w:tcPr>
            <w:tcW w:type="dxa" w:w="4989"/>
            <w:shd w:val="clear" w:color="auto" w:fill="F7F0FB"/>
          </w:tcPr>
          <w:p>
            <w:pPr>
              <w:spacing w:before="60" w:after="60"/>
            </w:pPr>
            <w:r/>
            <w:r>
              <w:t>"A white ute has just left pump 7 without paying. What do you write down, and what do you not do?"</w:t>
            </w:r>
          </w:p>
          <w:p>
            <w:pPr>
              <w:spacing w:before="60" w:after="60"/>
            </w:pPr>
            <w:r>
              <w:t>Model answer: pump 7, the time, the number plate, the make and colour, and which way it went; then call the site manager. Do not follow the vehicle or step in front of it.</w:t>
            </w:r>
          </w:p>
        </w:tc>
      </w:tr>
      <w:tr>
        <w:trPr>
          <w:cantSplit w:val="true"/>
        </w:trPr>
        <w:tc>
          <w:tcPr>
            <w:tcW w:type="dxa" w:w="1814"/>
          </w:tcPr>
          <w:p>
            <w:pPr>
              <w:spacing w:before="60" w:after="60"/>
            </w:pPr>
            <w:r/>
            <w:r>
              <w:rPr>
                <w:b/>
              </w:rPr>
              <w:t>The follow-up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When it comes back, where it arrives, who sends it and what changes</w:t>
            </w:r>
          </w:p>
        </w:tc>
        <w:tc>
          <w:tcPr>
            <w:tcW w:type="dxa" w:w="4989"/>
          </w:tcPr>
          <w:p>
            <w:pPr>
              <w:spacing w:before="60" w:after="60"/>
            </w:pPr>
            <w:r/>
            <w:r>
              <w:t>One question in the staff group chat after 1 week and again after 1 month, posted by the site manager, each with a different vehicle and pump.</w:t>
            </w:r>
          </w:p>
        </w:tc>
      </w:tr>
    </w:tbl>
    <w:p>
      <w:pPr>
        <w:spacing w:before="160"/>
      </w:pPr>
      <w:r>
        <w:t>Check the actual incident records for missing details before deciding which part needs practice.</w:t>
      </w:r>
    </w:p>
    <w:p>
      <w:pPr>
        <w:sectPr>
          <w:headerReference w:type="default" r:id="rId9"/>
          <w:footerReference w:type="default" r:id="rId10"/>
          <w:pgSz w:w="12240" w:h="15840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Worked example: the follow-up schedule for the forecourt series</w:t>
      </w:r>
    </w:p>
    <w:p>
      <w:r>
        <w:t>Five lessons, one per moment, under 10 minutes in total. Every follow-up has a place it arrives and someone or something that puts it there. A group chat message, a card inside the spill kit lid and a sticker on a card reader need no software.</w:t>
      </w:r>
    </w:p>
    <w:p>
      <w:r>
        <w:t>The spill lesson is an aid to the approved site plan: stop fuel delivery if safe, keep people clear and notify the authorised responder. Untrained console operators are not sent to clean petrol. Use a safe simulation for training, never an active-pump hazard.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262"/>
        <w:gridCol w:w="2262"/>
        <w:gridCol w:w="2262"/>
        <w:gridCol w:w="2262"/>
        <w:gridCol w:w="2262"/>
        <w:gridCol w:w="2262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Released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First follow-up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Second follow-up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Where the follow-up arrives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changes each time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1. Drive-off record (recall)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Week 1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After 1 week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After 1 month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  <w:r>
              <w:t>Staff group chat, posted by the site manager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/>
            <w:r>
              <w:t>The vehicle and the pump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2. Fuel spill (procedure)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Week 1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t>The spill kit lid card, always there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  <w:r>
              <w:t>After 3 months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  <w:r>
              <w:t>Spill kit lid, then the ordering question posted in the staff group chat by the site manager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  <w:r>
              <w:t>The scenario, keeping approved procedure wording unchanged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3. Card declined (judgement)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Week 2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After 6 weeks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Next quarter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  <w:r>
              <w:t>Staff group chat, posted by the site manager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/>
            <w:r>
              <w:t>The customer's response</w:t>
            </w:r>
          </w:p>
        </w:tc>
      </w:tr>
      <w:tr>
        <w:trPr>
          <w:cantSplit w:val="true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4. Forecourt screen (noticing)</w:t>
            </w:r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  <w:r>
              <w:t>Week 2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  <w:r>
              <w:t>After 1 month</w:t>
            </w:r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  <w:r>
              <w:t>Monthly after that</w:t>
            </w:r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  <w:r>
              <w:t>Staff group chat, posted by the site manager</w:t>
            </w:r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  <w:r>
              <w:t>The still and the number of breaches</w:t>
            </w:r>
          </w:p>
        </w:tc>
      </w:tr>
      <w:tr>
        <w:trPr>
          <w:cantSplit w:val="true"/>
        </w:trPr>
        <w:tc>
          <w:tcPr>
            <w:tcW w:type="dxa" w:w="2608"/>
          </w:tcPr>
          <w:p>
            <w:pPr>
              <w:spacing w:before="60" w:after="60"/>
            </w:pPr>
            <w:r/>
            <w:r>
              <w:rPr>
                <w:b/>
              </w:rPr>
              <w:t>5. Pump number (habit)</w:t>
            </w:r>
          </w:p>
        </w:tc>
        <w:tc>
          <w:tcPr>
            <w:tcW w:type="dxa" w:w="1247"/>
          </w:tcPr>
          <w:p>
            <w:pPr>
              <w:spacing w:before="60" w:after="60"/>
            </w:pPr>
            <w:r/>
            <w:r>
              <w:t>Week 3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  <w:r>
              <w:t>The console prompt, every payment</w:t>
            </w:r>
          </w:p>
        </w:tc>
        <w:tc>
          <w:tcPr>
            <w:tcW w:type="dxa" w:w="1928"/>
          </w:tcPr>
          <w:p>
            <w:pPr>
              <w:spacing w:before="60" w:after="60"/>
            </w:pPr>
            <w:r/>
            <w:r>
              <w:t>None</w:t>
            </w:r>
          </w:p>
        </w:tc>
        <w:tc>
          <w:tcPr>
            <w:tcW w:type="dxa" w:w="3175"/>
          </w:tcPr>
          <w:p>
            <w:pPr>
              <w:spacing w:before="60" w:after="60"/>
            </w:pPr>
            <w:r/>
            <w:r>
              <w:t>Console screen or card reader sticker</w:t>
            </w:r>
          </w:p>
        </w:tc>
        <w:tc>
          <w:tcPr>
            <w:tcW w:type="dxa" w:w="2948"/>
          </w:tcPr>
          <w:p>
            <w:pPr>
              <w:spacing w:before="60" w:after="60"/>
            </w:pPr>
            <w:r/>
            <w:r>
              <w:t>Nothing; the prompt is the habit</w:t>
            </w:r>
          </w:p>
        </w:tc>
      </w:tr>
    </w:tbl>
    <w:p>
      <w:pPr>
        <w:spacing w:before="160"/>
      </w:pPr>
      <w:r>
        <w:t>The longer something has to last, the wider the gaps. Vary the scenario where useful; retain the exact approved wording of operational procedures.</w:t>
      </w:r>
    </w:p>
    <w:p>
      <w:pPr>
        <w:sectPr>
          <w:pgSz w:w="15840" w:h="12240" w:orient="landscape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lesson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55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 detail</w:t>
            </w:r>
          </w:p>
        </w:tc>
        <w:tc>
          <w:tcPr>
            <w:tcW w:type="dxa" w:w="708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lesson</w:t>
            </w:r>
          </w:p>
        </w:tc>
      </w:tr>
      <w:tr>
        <w:trPr>
          <w:cantSplit w:val="true"/>
          <w:trHeight w:val="510"/>
        </w:trPr>
        <w:tc>
          <w:tcPr>
            <w:tcW w:type="dxa" w:w="2551"/>
          </w:tcPr>
          <w:p>
            <w:pPr>
              <w:spacing w:before="60" w:after="60"/>
            </w:pPr>
            <w:r/>
            <w:r>
              <w:rPr>
                <w:b/>
              </w:rPr>
              <w:t>Lesson title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Who it is for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2551"/>
          </w:tcPr>
          <w:p>
            <w:pPr>
              <w:spacing w:before="60" w:after="60"/>
            </w:pPr>
            <w:r/>
            <w:r>
              <w:rPr>
                <w:b/>
              </w:rPr>
              <w:t>The job (recall, procedure, judgement, noticing or habit)</w:t>
            </w:r>
          </w:p>
        </w:tc>
        <w:tc>
          <w:tcPr>
            <w:tcW w:type="dxa" w:w="7087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10"/>
        </w:trPr>
        <w:tc>
          <w:tcPr>
            <w:tcW w:type="dxa" w:w="2551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Format and length</w:t>
            </w:r>
          </w:p>
        </w:tc>
        <w:tc>
          <w:tcPr>
            <w:tcW w:type="dxa" w:w="7087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The five parts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to write</w:t>
            </w:r>
          </w:p>
        </w:tc>
        <w:tc>
          <w:tcPr>
            <w:tcW w:type="dxa" w:w="498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lesson</w:t>
            </w:r>
          </w:p>
        </w:tc>
      </w:tr>
      <w:tr>
        <w:trPr>
          <w:cantSplit w:val="true"/>
          <w:trHeight w:val="1644"/>
        </w:trPr>
        <w:tc>
          <w:tcPr>
            <w:tcW w:type="dxa" w:w="1814"/>
          </w:tcPr>
          <w:p>
            <w:pPr>
              <w:spacing w:before="60" w:after="60"/>
            </w:pPr>
            <w:r/>
            <w:r>
              <w:rPr>
                <w:b/>
              </w:rPr>
              <w:t>The moment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Where they are and what is happening</w:t>
            </w:r>
          </w:p>
        </w:tc>
        <w:tc>
          <w:tcPr>
            <w:tcW w:type="dxa" w:w="498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The behaviour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The one thing they do differently, as an action</w:t>
            </w:r>
          </w:p>
        </w:tc>
        <w:tc>
          <w:tcPr>
            <w:tcW w:type="dxa" w:w="498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814"/>
          </w:tcPr>
          <w:p>
            <w:pPr>
              <w:spacing w:before="60" w:after="60"/>
            </w:pPr>
            <w:r/>
            <w:r>
              <w:rPr>
                <w:b/>
              </w:rPr>
              <w:t>The lesson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The artefact in full: the card, the script or the photo</w:t>
            </w:r>
          </w:p>
        </w:tc>
        <w:tc>
          <w:tcPr>
            <w:tcW w:type="dxa" w:w="498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814"/>
            <w:shd w:val="clear" w:color="auto" w:fill="F7F0FB"/>
          </w:tcPr>
          <w:p>
            <w:pPr>
              <w:spacing w:before="60" w:after="60"/>
            </w:pPr>
            <w:r/>
            <w:r>
              <w:rPr>
                <w:b/>
              </w:rPr>
              <w:t>The check</w:t>
            </w:r>
          </w:p>
        </w:tc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/>
            <w:r>
              <w:t>One question answered from the situation, with the model answer</w:t>
            </w:r>
          </w:p>
        </w:tc>
        <w:tc>
          <w:tcPr>
            <w:tcW w:type="dxa" w:w="498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1644"/>
        </w:trPr>
        <w:tc>
          <w:tcPr>
            <w:tcW w:type="dxa" w:w="1814"/>
          </w:tcPr>
          <w:p>
            <w:pPr>
              <w:spacing w:before="60" w:after="60"/>
            </w:pPr>
            <w:r/>
            <w:r>
              <w:rPr>
                <w:b/>
              </w:rPr>
              <w:t>The follow-up</w:t>
            </w:r>
          </w:p>
        </w:tc>
        <w:tc>
          <w:tcPr>
            <w:tcW w:type="dxa" w:w="2835"/>
          </w:tcPr>
          <w:p>
            <w:pPr>
              <w:spacing w:before="60" w:after="60"/>
            </w:pPr>
            <w:r/>
            <w:r>
              <w:t>When it comes back, where it arrives, who sends it and what changes</w:t>
            </w:r>
          </w:p>
        </w:tc>
        <w:tc>
          <w:tcPr>
            <w:tcW w:type="dxa" w:w="4989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Not a moment? If you could not fill in The moment, this is a topic. List the moments inside it and give each one its own page.</w:t>
      </w:r>
    </w:p>
    <w:p>
      <w:pPr>
        <w:sectPr>
          <w:pgSz w:w="12240" w:h="15840"/>
          <w:pgMar w:top="907" w:right="1134" w:bottom="907" w:left="1134" w:header="454" w:footer="454" w:gutter="0"/>
          <w:cols w:space="720"/>
          <w:docGrid w:linePitch="360"/>
        </w:sectPr>
      </w:pP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follow-up schedule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262"/>
        <w:gridCol w:w="2262"/>
        <w:gridCol w:w="2262"/>
        <w:gridCol w:w="2262"/>
        <w:gridCol w:w="2262"/>
        <w:gridCol w:w="2262"/>
      </w:tblGrid>
      <w:tr>
        <w:trPr>
          <w:tblHeader w:val="true"/>
          <w:cantSplit w:val="true"/>
        </w:trPr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Lesson</w:t>
            </w:r>
          </w:p>
        </w:tc>
        <w:tc>
          <w:tcPr>
            <w:tcW w:type="dxa" w:w="1247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Released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First follow-up</w:t>
            </w:r>
          </w:p>
        </w:tc>
        <w:tc>
          <w:tcPr>
            <w:tcW w:type="dxa" w:w="192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Second follow-up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Where it arrives, sender</w:t>
            </w:r>
          </w:p>
        </w:tc>
        <w:tc>
          <w:tcPr>
            <w:tcW w:type="dxa" w:w="294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changes each time</w:t>
            </w:r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1247"/>
          </w:tcPr>
          <w:p>
            <w:pPr>
              <w:spacing w:before="60" w:after="60"/>
            </w:pPr>
            <w:r/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1928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294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964"/>
        </w:trPr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247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192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94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t>For each row, write who sends the follow-up. Name an owner and verify that the planned follow-up is delivered.</w:t>
      </w:r>
    </w:p>
    <w:sectPr w:rsidR="00FC693F" w:rsidRPr="0006063C" w:rsidSect="00034616">
      <w:pgSz w:w="15840" w:h="12240" w:orient="landscape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