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Facilitator's Discussion Moves Card</w:t>
      </w:r>
    </w:p>
    <w:p>
      <w:r>
        <w:rPr>
          <w:color w:val="5A5766"/>
          <w:sz w:val="22"/>
        </w:rPr>
        <w:t>Weekly moves for the facilitator of an online or blended cohort run as a community of inquiry: how to open a discussion, summarise it, move it past sharing stories, draw in quiet learners, decide when to explain and close the inquiry. It draws on the teaching presence categories in the Community of Inquiry framework (Anderson, Rourke, Garrison and Archer, 2001); the moves are our adaptation, not the authors' method. A hypothetical insurer's claims team leaders' cohort is filled in as an example.</w:t>
      </w:r>
    </w:p>
    <w:p>
      <w:r>
        <w:rPr>
          <w:i/>
          <w:color w:val="5A5766"/>
          <w:sz w:val="18"/>
        </w:rPr>
        <w:t>From the Coursebox blog: coursebox.ai/blog/a-guide-to-community-of-inquiry-coi-framework</w:t>
      </w:r>
    </w:p>
    <w:p>
      <w:pPr>
        <w:keepNext/>
        <w:spacing w:before="240" w:after="80"/>
      </w:pPr>
      <w:r>
        <w:rPr>
          <w:b/>
          <w:color w:val="5D008F"/>
          <w:sz w:val="28"/>
        </w:rPr>
        <w:t>How to use this card</w:t>
      </w:r>
    </w:p>
    <w:p>
      <w:pPr>
        <w:pStyle w:val="ListBullet"/>
      </w:pPr>
      <w:r>
        <w:t>Keep the card open while you read each week's thread. Pick the one or two moves the thread needs, not all of them.</w:t>
      </w:r>
    </w:p>
    <w:p>
      <w:pPr>
        <w:pStyle w:val="ListBullet"/>
      </w:pPr>
      <w:r>
        <w:t>Post your summary on the same day each week, so learners know when to expect it.</w:t>
      </w:r>
    </w:p>
    <w:p>
      <w:pPr>
        <w:pStyle w:val="ListBullet"/>
      </w:pPr>
      <w:r>
        <w:t>Hold back on answering the group's open question. Your job is to move the discussion on, not to close it early.</w:t>
      </w:r>
    </w:p>
    <w:p>
      <w:pPr>
        <w:pStyle w:val="ListBullet"/>
      </w:pPr>
      <w:r>
        <w:t>Step in straight away when a post gets a procedure or a fact wrong, because a misconception can carry the whole group off course.</w:t>
      </w:r>
    </w:p>
    <w:p>
      <w:pPr>
        <w:pStyle w:val="ListBullet"/>
      </w:pPr>
      <w:r>
        <w:t>From the middle of the cohort, hand the weekly summary to a rotating lead in each group.</w:t>
      </w:r>
    </w:p>
    <w:p>
      <w:pPr>
        <w:keepNext/>
        <w:pageBreakBefore/>
        <w:spacing w:before="240" w:after="80"/>
      </w:pPr>
      <w:r>
        <w:rPr>
          <w:b/>
          <w:color w:val="5D008F"/>
          <w:sz w:val="28"/>
        </w:rPr>
        <w:t>Worked example: the moves, week by week</w:t>
      </w:r>
    </w:p>
    <w:p>
      <w:r>
        <w:t>Hypothetical example: 12 claims team leaders from three offices, in groups of 4, working on 'Why do customers on storm claims stop hearing from us, and what would you change in your team?' over 6 weeks.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928"/>
            <w:shd w:val="clear" w:color="auto" w:fill="5D008F"/>
          </w:tcPr>
          <w:p>
            <w:pPr>
              <w:spacing w:before="60" w:after="60"/>
            </w:pPr>
            <w:r/>
            <w:r>
              <w:rPr>
                <w:b/>
                <w:color w:val="FFFFFF"/>
              </w:rPr>
              <w:t>Move</w:t>
            </w:r>
          </w:p>
        </w:tc>
        <w:tc>
          <w:tcPr>
            <w:tcW w:type="dxa" w:w="3061"/>
            <w:shd w:val="clear" w:color="auto" w:fill="5D008F"/>
          </w:tcPr>
          <w:p>
            <w:pPr>
              <w:spacing w:before="60" w:after="60"/>
            </w:pPr>
            <w:r/>
            <w:r>
              <w:rPr>
                <w:b/>
                <w:color w:val="FFFFFF"/>
              </w:rPr>
              <w:t>When to use it</w:t>
            </w:r>
          </w:p>
        </w:tc>
        <w:tc>
          <w:tcPr>
            <w:tcW w:type="dxa" w:w="4649"/>
            <w:shd w:val="clear" w:color="auto" w:fill="5D008F"/>
          </w:tcPr>
          <w:p>
            <w:pPr>
              <w:spacing w:before="60" w:after="60"/>
            </w:pPr>
            <w:r/>
            <w:r>
              <w:rPr>
                <w:b/>
                <w:color w:val="FFFFFF"/>
              </w:rPr>
              <w:t>In the claims cohort</w:t>
            </w:r>
          </w:p>
        </w:tc>
      </w:tr>
      <w:tr>
        <w:trPr>
          <w:cantSplit w:val="true"/>
        </w:trPr>
        <w:tc>
          <w:tcPr>
            <w:tcW w:type="dxa" w:w="1928"/>
          </w:tcPr>
          <w:p>
            <w:pPr>
              <w:spacing w:before="60" w:after="60"/>
            </w:pPr>
            <w:r>
              <w:rPr>
                <w:b/>
              </w:rPr>
              <w:t>Open with the problem</w:t>
            </w:r>
          </w:p>
        </w:tc>
        <w:tc>
          <w:tcPr>
            <w:tcW w:type="dxa" w:w="3061"/>
          </w:tcPr>
          <w:p>
            <w:pPr>
              <w:spacing w:before="60" w:after="60"/>
            </w:pPr>
            <w:r>
              <w:t>The first post of each week</w:t>
            </w:r>
          </w:p>
        </w:tc>
        <w:tc>
          <w:tcPr>
            <w:tcW w:type="dxa" w:w="4649"/>
          </w:tcPr>
          <w:p>
            <w:pPr>
              <w:spacing w:before="60" w:after="60"/>
            </w:pPr>
            <w:r>
              <w:t>Week 2: post the open question and ask each leader to review 5 of the 20 claims and post what they notice, citing claim numbers</w:t>
            </w:r>
          </w:p>
        </w:tc>
      </w:tr>
      <w:tr>
        <w:trPr>
          <w:cantSplit w:val="true"/>
        </w:trPr>
        <w:tc>
          <w:tcPr>
            <w:tcW w:type="dxa" w:w="1928"/>
            <w:shd w:val="clear" w:color="auto" w:fill="F7F0FB"/>
          </w:tcPr>
          <w:p>
            <w:pPr>
              <w:spacing w:before="60" w:after="60"/>
            </w:pPr>
            <w:r>
              <w:rPr>
                <w:b/>
              </w:rPr>
              <w:t>Summarise the week</w:t>
            </w:r>
          </w:p>
        </w:tc>
        <w:tc>
          <w:tcPr>
            <w:tcW w:type="dxa" w:w="3061"/>
            <w:shd w:val="clear" w:color="auto" w:fill="F7F0FB"/>
          </w:tcPr>
          <w:p>
            <w:pPr>
              <w:spacing w:before="60" w:after="60"/>
            </w:pPr>
            <w:r>
              <w:t>Once a week, on a fixed day</w:t>
            </w:r>
          </w:p>
        </w:tc>
        <w:tc>
          <w:tcPr>
            <w:tcW w:type="dxa" w:w="4649"/>
            <w:shd w:val="clear" w:color="auto" w:fill="F7F0FB"/>
          </w:tcPr>
          <w:p>
            <w:pPr>
              <w:spacing w:before="60" w:after="60"/>
            </w:pPr>
            <w:r>
              <w:t>Friday post: what the group found, where people disagree and what is still unexplained</w:t>
            </w:r>
          </w:p>
        </w:tc>
      </w:tr>
      <w:tr>
        <w:trPr>
          <w:cantSplit w:val="true"/>
        </w:trPr>
        <w:tc>
          <w:tcPr>
            <w:tcW w:type="dxa" w:w="1928"/>
          </w:tcPr>
          <w:p>
            <w:pPr>
              <w:spacing w:before="60" w:after="60"/>
            </w:pPr>
            <w:r>
              <w:rPr>
                <w:b/>
              </w:rPr>
              <w:t>Probe past stories</w:t>
            </w:r>
          </w:p>
        </w:tc>
        <w:tc>
          <w:tcPr>
            <w:tcW w:type="dxa" w:w="3061"/>
          </w:tcPr>
          <w:p>
            <w:pPr>
              <w:spacing w:before="60" w:after="60"/>
            </w:pPr>
            <w:r>
              <w:t>A thread trades stories with no evidence or explanation</w:t>
            </w:r>
          </w:p>
        </w:tc>
        <w:tc>
          <w:tcPr>
            <w:tcW w:type="dxa" w:w="4649"/>
          </w:tcPr>
          <w:p>
            <w:pPr>
              <w:spacing w:before="60" w:after="60"/>
            </w:pPr>
            <w:r>
              <w:t>'What explains the difference between the offices?' and 'What evidence in the extract supports that?'</w:t>
            </w:r>
          </w:p>
        </w:tc>
      </w:tr>
      <w:tr>
        <w:trPr>
          <w:cantSplit w:val="true"/>
        </w:trPr>
        <w:tc>
          <w:tcPr>
            <w:tcW w:type="dxa" w:w="1928"/>
            <w:shd w:val="clear" w:color="auto" w:fill="F7F0FB"/>
          </w:tcPr>
          <w:p>
            <w:pPr>
              <w:spacing w:before="60" w:after="60"/>
            </w:pPr>
            <w:r>
              <w:rPr>
                <w:b/>
              </w:rPr>
              <w:t>Draw in quiet learners</w:t>
            </w:r>
          </w:p>
        </w:tc>
        <w:tc>
          <w:tcPr>
            <w:tcW w:type="dxa" w:w="3061"/>
            <w:shd w:val="clear" w:color="auto" w:fill="F7F0FB"/>
          </w:tcPr>
          <w:p>
            <w:pPr>
              <w:spacing w:before="60" w:after="60"/>
            </w:pPr>
            <w:r>
              <w:t>Someone has read but not posted for a week</w:t>
            </w:r>
          </w:p>
        </w:tc>
        <w:tc>
          <w:tcPr>
            <w:tcW w:type="dxa" w:w="4649"/>
            <w:shd w:val="clear" w:color="auto" w:fill="F7F0FB"/>
          </w:tcPr>
          <w:p>
            <w:pPr>
              <w:spacing w:before="60" w:after="60"/>
            </w:pPr>
            <w:r>
              <w:t>A private message asking for one observation from their five claims</w:t>
            </w:r>
          </w:p>
        </w:tc>
      </w:tr>
      <w:tr>
        <w:trPr>
          <w:cantSplit w:val="true"/>
        </w:trPr>
        <w:tc>
          <w:tcPr>
            <w:tcW w:type="dxa" w:w="1928"/>
          </w:tcPr>
          <w:p>
            <w:pPr>
              <w:spacing w:before="60" w:after="60"/>
            </w:pPr>
            <w:r>
              <w:rPr>
                <w:b/>
              </w:rPr>
              <w:t>Explain</w:t>
            </w:r>
          </w:p>
        </w:tc>
        <w:tc>
          <w:tcPr>
            <w:tcW w:type="dxa" w:w="3061"/>
          </w:tcPr>
          <w:p>
            <w:pPr>
              <w:spacing w:before="60" w:after="60"/>
            </w:pPr>
            <w:r>
              <w:t>A post gets the procedure or a fact wrong, or the group needs a method</w:t>
            </w:r>
          </w:p>
        </w:tc>
        <w:tc>
          <w:tcPr>
            <w:tcW w:type="dxa" w:w="4649"/>
          </w:tcPr>
          <w:p>
            <w:pPr>
              <w:spacing w:before="60" w:after="60"/>
            </w:pPr>
            <w:r>
              <w:t>Correct a misread complaints procedure; post a short explainer on root-cause questions in week 4</w:t>
            </w:r>
          </w:p>
        </w:tc>
      </w:tr>
      <w:tr>
        <w:trPr>
          <w:cantSplit w:val="true"/>
        </w:trPr>
        <w:tc>
          <w:tcPr>
            <w:tcW w:type="dxa" w:w="1928"/>
            <w:shd w:val="clear" w:color="auto" w:fill="F7F0FB"/>
          </w:tcPr>
          <w:p>
            <w:pPr>
              <w:spacing w:before="60" w:after="60"/>
            </w:pPr>
            <w:r>
              <w:rPr>
                <w:b/>
              </w:rPr>
              <w:t>Hold back</w:t>
            </w:r>
          </w:p>
        </w:tc>
        <w:tc>
          <w:tcPr>
            <w:tcW w:type="dxa" w:w="3061"/>
            <w:shd w:val="clear" w:color="auto" w:fill="F7F0FB"/>
          </w:tcPr>
          <w:p>
            <w:pPr>
              <w:spacing w:before="60" w:after="60"/>
            </w:pPr>
            <w:r>
              <w:t>The group is close to its own explanation</w:t>
            </w:r>
          </w:p>
        </w:tc>
        <w:tc>
          <w:tcPr>
            <w:tcW w:type="dxa" w:w="4649"/>
            <w:shd w:val="clear" w:color="auto" w:fill="F7F0FB"/>
          </w:tcPr>
          <w:p>
            <w:pPr>
              <w:spacing w:before="60" w:after="60"/>
            </w:pPr>
            <w:r>
              <w:t>Do not tell the groups why claims go quiet; ask them to test their explanation against the 20 claims</w:t>
            </w:r>
          </w:p>
        </w:tc>
      </w:tr>
      <w:tr>
        <w:trPr>
          <w:cantSplit w:val="true"/>
        </w:trPr>
        <w:tc>
          <w:tcPr>
            <w:tcW w:type="dxa" w:w="1928"/>
          </w:tcPr>
          <w:p>
            <w:pPr>
              <w:spacing w:before="60" w:after="60"/>
            </w:pPr>
            <w:r>
              <w:rPr>
                <w:b/>
              </w:rPr>
              <w:t>Hand over</w:t>
            </w:r>
          </w:p>
        </w:tc>
        <w:tc>
          <w:tcPr>
            <w:tcW w:type="dxa" w:w="3061"/>
          </w:tcPr>
          <w:p>
            <w:pPr>
              <w:spacing w:before="60" w:after="60"/>
            </w:pPr>
            <w:r>
              <w:t>From week 4</w:t>
            </w:r>
          </w:p>
        </w:tc>
        <w:tc>
          <w:tcPr>
            <w:tcW w:type="dxa" w:w="4649"/>
          </w:tcPr>
          <w:p>
            <w:pPr>
              <w:spacing w:before="60" w:after="60"/>
            </w:pPr>
            <w:r>
              <w:t>Each group's rotating lead posts the group's summary</w:t>
            </w:r>
          </w:p>
        </w:tc>
      </w:tr>
      <w:tr>
        <w:trPr>
          <w:cantSplit w:val="true"/>
        </w:trPr>
        <w:tc>
          <w:tcPr>
            <w:tcW w:type="dxa" w:w="1928"/>
            <w:shd w:val="clear" w:color="auto" w:fill="F7F0FB"/>
          </w:tcPr>
          <w:p>
            <w:pPr>
              <w:spacing w:before="60" w:after="60"/>
            </w:pPr>
            <w:r>
              <w:rPr>
                <w:b/>
              </w:rPr>
              <w:t>Close the inquiry</w:t>
            </w:r>
          </w:p>
        </w:tc>
        <w:tc>
          <w:tcPr>
            <w:tcW w:type="dxa" w:w="3061"/>
            <w:shd w:val="clear" w:color="auto" w:fill="F7F0FB"/>
          </w:tcPr>
          <w:p>
            <w:pPr>
              <w:spacing w:before="60" w:after="60"/>
            </w:pPr>
            <w:r>
              <w:t>The last week</w:t>
            </w:r>
          </w:p>
        </w:tc>
        <w:tc>
          <w:tcPr>
            <w:tcW w:type="dxa" w:w="4649"/>
            <w:shd w:val="clear" w:color="auto" w:fill="F7F0FB"/>
          </w:tcPr>
          <w:p>
            <w:pPr>
              <w:spacing w:before="60" w:after="60"/>
            </w:pPr>
            <w:r>
              <w:t>Week 6 live session: what each leader tried, what the trial log showed and what they will keep doing</w:t>
            </w:r>
          </w:p>
        </w:tc>
      </w:tr>
    </w:tbl>
    <w:p>
      <w:pPr>
        <w:keepNext/>
        <w:spacing w:before="240" w:after="80"/>
      </w:pPr>
      <w:r>
        <w:rPr>
          <w:b/>
          <w:color w:val="5D008F"/>
          <w:sz w:val="28"/>
        </w:rPr>
        <w:t>Prompts that move a thread 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041"/>
            <w:shd w:val="clear" w:color="auto" w:fill="5D008F"/>
          </w:tcPr>
          <w:p>
            <w:pPr>
              <w:spacing w:before="60" w:after="60"/>
            </w:pPr>
            <w:r/>
            <w:r>
              <w:rPr>
                <w:b/>
                <w:color w:val="FFFFFF"/>
              </w:rPr>
              <w:t>Where the thread is</w:t>
            </w:r>
          </w:p>
        </w:tc>
        <w:tc>
          <w:tcPr>
            <w:tcW w:type="dxa" w:w="3402"/>
            <w:shd w:val="clear" w:color="auto" w:fill="5D008F"/>
          </w:tcPr>
          <w:p>
            <w:pPr>
              <w:spacing w:before="60" w:after="60"/>
            </w:pPr>
            <w:r/>
            <w:r>
              <w:rPr>
                <w:b/>
                <w:color w:val="FFFFFF"/>
              </w:rPr>
              <w:t>Sign</w:t>
            </w:r>
          </w:p>
        </w:tc>
        <w:tc>
          <w:tcPr>
            <w:tcW w:type="dxa" w:w="4195"/>
            <w:shd w:val="clear" w:color="auto" w:fill="5D008F"/>
          </w:tcPr>
          <w:p>
            <w:pPr>
              <w:spacing w:before="60" w:after="60"/>
            </w:pPr>
            <w:r/>
            <w:r>
              <w:rPr>
                <w:b/>
                <w:color w:val="FFFFFF"/>
              </w:rPr>
              <w:t>Prompt to try</w:t>
            </w:r>
          </w:p>
        </w:tc>
      </w:tr>
      <w:tr>
        <w:trPr>
          <w:cantSplit w:val="true"/>
        </w:trPr>
        <w:tc>
          <w:tcPr>
            <w:tcW w:type="dxa" w:w="2041"/>
          </w:tcPr>
          <w:p>
            <w:pPr>
              <w:spacing w:before="60" w:after="60"/>
            </w:pPr>
            <w:r>
              <w:rPr>
                <w:b/>
              </w:rPr>
              <w:t>Stuck at stories</w:t>
            </w:r>
          </w:p>
        </w:tc>
        <w:tc>
          <w:tcPr>
            <w:tcW w:type="dxa" w:w="3402"/>
          </w:tcPr>
          <w:p>
            <w:pPr>
              <w:spacing w:before="60" w:after="60"/>
            </w:pPr>
            <w:r>
              <w:t>Posts describe experiences but connect nothing</w:t>
            </w:r>
          </w:p>
        </w:tc>
        <w:tc>
          <w:tcPr>
            <w:tcW w:type="dxa" w:w="4195"/>
          </w:tcPr>
          <w:p>
            <w:pPr>
              <w:spacing w:before="60" w:after="60"/>
            </w:pPr>
            <w:r>
              <w:t>'What do we know from the evidence, and what do we think it means?'</w:t>
            </w:r>
          </w:p>
        </w:tc>
      </w:tr>
      <w:tr>
        <w:trPr>
          <w:cantSplit w:val="true"/>
        </w:trPr>
        <w:tc>
          <w:tcPr>
            <w:tcW w:type="dxa" w:w="2041"/>
            <w:shd w:val="clear" w:color="auto" w:fill="F7F0FB"/>
          </w:tcPr>
          <w:p>
            <w:pPr>
              <w:spacing w:before="60" w:after="60"/>
            </w:pPr>
            <w:r>
              <w:rPr>
                <w:b/>
              </w:rPr>
              <w:t>Exploring</w:t>
            </w:r>
          </w:p>
        </w:tc>
        <w:tc>
          <w:tcPr>
            <w:tcW w:type="dxa" w:w="3402"/>
            <w:shd w:val="clear" w:color="auto" w:fill="F7F0FB"/>
          </w:tcPr>
          <w:p>
            <w:pPr>
              <w:spacing w:before="60" w:after="60"/>
            </w:pPr>
            <w:r>
              <w:t>Lots of information, no explanation yet</w:t>
            </w:r>
          </w:p>
        </w:tc>
        <w:tc>
          <w:tcPr>
            <w:tcW w:type="dxa" w:w="4195"/>
            <w:shd w:val="clear" w:color="auto" w:fill="F7F0FB"/>
          </w:tcPr>
          <w:p>
            <w:pPr>
              <w:spacing w:before="60" w:after="60"/>
            </w:pPr>
            <w:r>
              <w:t>'What explains the difference you have spotted?'</w:t>
            </w:r>
          </w:p>
        </w:tc>
      </w:tr>
      <w:tr>
        <w:trPr>
          <w:cantSplit w:val="true"/>
        </w:trPr>
        <w:tc>
          <w:tcPr>
            <w:tcW w:type="dxa" w:w="2041"/>
          </w:tcPr>
          <w:p>
            <w:pPr>
              <w:spacing w:before="60" w:after="60"/>
            </w:pPr>
            <w:r>
              <w:rPr>
                <w:b/>
              </w:rPr>
              <w:t>Integrating</w:t>
            </w:r>
          </w:p>
        </w:tc>
        <w:tc>
          <w:tcPr>
            <w:tcW w:type="dxa" w:w="3402"/>
          </w:tcPr>
          <w:p>
            <w:pPr>
              <w:spacing w:before="60" w:after="60"/>
            </w:pPr>
            <w:r>
              <w:t>A proposed explanation or change</w:t>
            </w:r>
          </w:p>
        </w:tc>
        <w:tc>
          <w:tcPr>
            <w:tcW w:type="dxa" w:w="4195"/>
          </w:tcPr>
          <w:p>
            <w:pPr>
              <w:spacing w:before="60" w:after="60"/>
            </w:pPr>
            <w:r>
              <w:t>'What in the evidence fits this, and what does not?'</w:t>
            </w:r>
          </w:p>
        </w:tc>
      </w:tr>
      <w:tr>
        <w:trPr>
          <w:cantSplit w:val="true"/>
        </w:trPr>
        <w:tc>
          <w:tcPr>
            <w:tcW w:type="dxa" w:w="2041"/>
            <w:shd w:val="clear" w:color="auto" w:fill="F7F0FB"/>
          </w:tcPr>
          <w:p>
            <w:pPr>
              <w:spacing w:before="60" w:after="60"/>
            </w:pPr>
            <w:r>
              <w:rPr>
                <w:b/>
              </w:rPr>
              <w:t>Resolving</w:t>
            </w:r>
          </w:p>
        </w:tc>
        <w:tc>
          <w:tcPr>
            <w:tcW w:type="dxa" w:w="3402"/>
            <w:shd w:val="clear" w:color="auto" w:fill="F7F0FB"/>
          </w:tcPr>
          <w:p>
            <w:pPr>
              <w:spacing w:before="60" w:after="60"/>
            </w:pPr>
            <w:r>
              <w:t>A change is ready to try</w:t>
            </w:r>
          </w:p>
        </w:tc>
        <w:tc>
          <w:tcPr>
            <w:tcW w:type="dxa" w:w="4195"/>
            <w:shd w:val="clear" w:color="auto" w:fill="F7F0FB"/>
          </w:tcPr>
          <w:p>
            <w:pPr>
              <w:spacing w:before="60" w:after="60"/>
            </w:pPr>
            <w:r>
              <w:t>'What will you try in your team, for how long, and how will you know whether it worked?'</w:t>
            </w:r>
          </w:p>
        </w:tc>
      </w:tr>
    </w:tbl>
    <w:p>
      <w:pPr>
        <w:spacing w:before="160"/>
      </w:pPr>
      <w:r>
        <w:rPr>
          <w:i/>
          <w:color w:val="5A5766"/>
        </w:rPr>
        <w:t>These positions are not a fixed sequence. A trial can raise a new question and send a thread back to exploring.</w:t>
      </w:r>
    </w:p>
    <w:p>
      <w:pPr>
        <w:keepNext/>
        <w:pageBreakBefore/>
        <w:spacing w:before="240" w:after="80"/>
      </w:pPr>
      <w:r>
        <w:rPr>
          <w:b/>
          <w:color w:val="5D008F"/>
          <w:sz w:val="28"/>
        </w:rPr>
        <w:t>Weekly summary template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814"/>
            <w:shd w:val="clear" w:color="auto" w:fill="5D008F"/>
          </w:tcPr>
          <w:p>
            <w:pPr>
              <w:spacing w:before="60" w:after="60"/>
            </w:pPr>
            <w:r/>
            <w:r>
              <w:rPr>
                <w:b/>
                <w:color w:val="FFFFFF"/>
              </w:rPr>
              <w:t>Part</w:t>
            </w:r>
          </w:p>
        </w:tc>
        <w:tc>
          <w:tcPr>
            <w:tcW w:type="dxa" w:w="4195"/>
            <w:shd w:val="clear" w:color="auto" w:fill="5D008F"/>
          </w:tcPr>
          <w:p>
            <w:pPr>
              <w:spacing w:before="60" w:after="60"/>
            </w:pPr>
            <w:r/>
            <w:r>
              <w:rPr>
                <w:b/>
                <w:color w:val="FFFFFF"/>
              </w:rPr>
              <w:t>Worked example: week 3</w:t>
            </w:r>
          </w:p>
        </w:tc>
        <w:tc>
          <w:tcPr>
            <w:tcW w:type="dxa" w:w="3628"/>
            <w:shd w:val="clear" w:color="auto" w:fill="5D008F"/>
          </w:tcPr>
          <w:p>
            <w:pPr>
              <w:spacing w:before="60" w:after="60"/>
            </w:pPr>
            <w:r/>
            <w:r>
              <w:rPr>
                <w:b/>
                <w:color w:val="FFFFFF"/>
              </w:rPr>
              <w:t>Your summary</w:t>
            </w:r>
          </w:p>
        </w:tc>
      </w:tr>
      <w:tr>
        <w:trPr>
          <w:cantSplit w:val="true"/>
          <w:trHeight w:val="1020"/>
        </w:trPr>
        <w:tc>
          <w:tcPr>
            <w:tcW w:type="dxa" w:w="1814"/>
          </w:tcPr>
          <w:p>
            <w:pPr>
              <w:spacing w:before="60" w:after="60"/>
            </w:pPr>
            <w:r>
              <w:rPr>
                <w:b/>
              </w:rPr>
              <w:t>What we found</w:t>
            </w:r>
          </w:p>
        </w:tc>
        <w:tc>
          <w:tcPr>
            <w:tcW w:type="dxa" w:w="4195"/>
          </w:tcPr>
          <w:p>
            <w:pPr>
              <w:spacing w:before="60" w:after="60"/>
            </w:pPr>
            <w:r>
              <w:t>All three offices wait for the assessor's report before calling the customer again, but only one office has a written rule for how long to wait.</w:t>
            </w:r>
          </w:p>
        </w:tc>
        <w:tc>
          <w:tcPr>
            <w:tcW w:type="dxa" w:w="3628"/>
          </w:tcPr>
          <w:p>
            <w:pPr>
              <w:spacing w:before="60" w:after="60"/>
            </w:pPr>
            <w:r/>
          </w:p>
        </w:tc>
      </w:tr>
      <w:tr>
        <w:trPr>
          <w:cantSplit w:val="true"/>
          <w:trHeight w:val="1020"/>
        </w:trPr>
        <w:tc>
          <w:tcPr>
            <w:tcW w:type="dxa" w:w="1814"/>
            <w:shd w:val="clear" w:color="auto" w:fill="F7F0FB"/>
          </w:tcPr>
          <w:p>
            <w:pPr>
              <w:spacing w:before="60" w:after="60"/>
            </w:pPr>
            <w:r>
              <w:rPr>
                <w:b/>
              </w:rPr>
              <w:t>Where we disagree</w:t>
            </w:r>
          </w:p>
        </w:tc>
        <w:tc>
          <w:tcPr>
            <w:tcW w:type="dxa" w:w="4195"/>
            <w:shd w:val="clear" w:color="auto" w:fill="F7F0FB"/>
          </w:tcPr>
          <w:p>
            <w:pPr>
              <w:spacing w:before="60" w:after="60"/>
            </w:pPr>
            <w:r>
              <w:t>Whether the silence starts at the assessor visit or earlier, at the first contact.</w:t>
            </w:r>
          </w:p>
        </w:tc>
        <w:tc>
          <w:tcPr>
            <w:tcW w:type="dxa" w:w="3628"/>
            <w:shd w:val="clear" w:color="auto" w:fill="F7F0FB"/>
          </w:tcPr>
          <w:p>
            <w:pPr>
              <w:spacing w:before="60" w:after="60"/>
            </w:pPr>
            <w:r/>
          </w:p>
        </w:tc>
      </w:tr>
      <w:tr>
        <w:trPr>
          <w:cantSplit w:val="true"/>
          <w:trHeight w:val="1020"/>
        </w:trPr>
        <w:tc>
          <w:tcPr>
            <w:tcW w:type="dxa" w:w="1814"/>
          </w:tcPr>
          <w:p>
            <w:pPr>
              <w:spacing w:before="60" w:after="60"/>
            </w:pPr>
            <w:r>
              <w:rPr>
                <w:b/>
              </w:rPr>
              <w:t>Still unexplained</w:t>
            </w:r>
          </w:p>
        </w:tc>
        <w:tc>
          <w:tcPr>
            <w:tcW w:type="dxa" w:w="4195"/>
          </w:tcPr>
          <w:p>
            <w:pPr>
              <w:spacing w:before="60" w:after="60"/>
            </w:pPr>
            <w:r>
              <w:t>Why some claims in the extract went quiet even after the report arrived.</w:t>
            </w:r>
          </w:p>
        </w:tc>
        <w:tc>
          <w:tcPr>
            <w:tcW w:type="dxa" w:w="3628"/>
          </w:tcPr>
          <w:p>
            <w:pPr>
              <w:spacing w:before="60" w:after="60"/>
            </w:pPr>
            <w:r/>
          </w:p>
        </w:tc>
      </w:tr>
      <w:tr>
        <w:trPr>
          <w:cantSplit w:val="true"/>
          <w:trHeight w:val="1020"/>
        </w:trPr>
        <w:tc>
          <w:tcPr>
            <w:tcW w:type="dxa" w:w="1814"/>
            <w:shd w:val="clear" w:color="auto" w:fill="F7F0FB"/>
          </w:tcPr>
          <w:p>
            <w:pPr>
              <w:spacing w:before="60" w:after="60"/>
            </w:pPr>
            <w:r>
              <w:rPr>
                <w:b/>
              </w:rPr>
              <w:t>Next step</w:t>
            </w:r>
          </w:p>
        </w:tc>
        <w:tc>
          <w:tcPr>
            <w:tcW w:type="dxa" w:w="4195"/>
            <w:shd w:val="clear" w:color="auto" w:fill="F7F0FB"/>
          </w:tcPr>
          <w:p>
            <w:pPr>
              <w:spacing w:before="60" w:after="60"/>
            </w:pPr>
            <w:r>
              <w:t>Each group: check your explanation against all 20 claims and post the evidence for and against by Thursday.</w:t>
            </w:r>
          </w:p>
        </w:tc>
        <w:tc>
          <w:tcPr>
            <w:tcW w:type="dxa" w:w="3628"/>
            <w:shd w:val="clear" w:color="auto" w:fill="F7F0FB"/>
          </w:tcPr>
          <w:p>
            <w:pPr>
              <w:spacing w:before="60" w:after="60"/>
            </w:pPr>
            <w:r/>
          </w:p>
        </w:tc>
      </w:tr>
    </w:tbl>
    <w:p>
      <w:pPr>
        <w:keepNext/>
        <w:pageBreakBefore/>
        <w:spacing w:before="240" w:after="80"/>
      </w:pPr>
      <w:r>
        <w:rPr>
          <w:b/>
          <w:color w:val="5D008F"/>
          <w:sz w:val="28"/>
        </w:rPr>
        <w:t>Your weekly facilitation plan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794"/>
            <w:shd w:val="clear" w:color="auto" w:fill="5D008F"/>
          </w:tcPr>
          <w:p>
            <w:pPr>
              <w:spacing w:before="60" w:after="60"/>
            </w:pPr>
            <w:r/>
            <w:r>
              <w:rPr>
                <w:b/>
                <w:color w:val="FFFFFF"/>
              </w:rPr>
              <w:t>Week</w:t>
            </w:r>
          </w:p>
        </w:tc>
        <w:tc>
          <w:tcPr>
            <w:tcW w:type="dxa" w:w="2154"/>
            <w:shd w:val="clear" w:color="auto" w:fill="5D008F"/>
          </w:tcPr>
          <w:p>
            <w:pPr>
              <w:spacing w:before="60" w:after="60"/>
            </w:pPr>
            <w:r/>
            <w:r>
              <w:rPr>
                <w:b/>
                <w:color w:val="FFFFFF"/>
              </w:rPr>
              <w:t>Opening post</w:t>
            </w:r>
          </w:p>
        </w:tc>
        <w:tc>
          <w:tcPr>
            <w:tcW w:type="dxa" w:w="1134"/>
            <w:shd w:val="clear" w:color="auto" w:fill="5D008F"/>
          </w:tcPr>
          <w:p>
            <w:pPr>
              <w:spacing w:before="60" w:after="60"/>
            </w:pPr>
            <w:r/>
            <w:r>
              <w:rPr>
                <w:b/>
                <w:color w:val="FFFFFF"/>
              </w:rPr>
              <w:t>Summary day</w:t>
            </w:r>
          </w:p>
        </w:tc>
        <w:tc>
          <w:tcPr>
            <w:tcW w:type="dxa" w:w="2041"/>
            <w:shd w:val="clear" w:color="auto" w:fill="5D008F"/>
          </w:tcPr>
          <w:p>
            <w:pPr>
              <w:spacing w:before="60" w:after="60"/>
            </w:pPr>
            <w:r/>
            <w:r>
              <w:rPr>
                <w:b/>
                <w:color w:val="FFFFFF"/>
              </w:rPr>
              <w:t>Probe ready</w:t>
            </w:r>
          </w:p>
        </w:tc>
        <w:tc>
          <w:tcPr>
            <w:tcW w:type="dxa" w:w="1701"/>
            <w:shd w:val="clear" w:color="auto" w:fill="5D008F"/>
          </w:tcPr>
          <w:p>
            <w:pPr>
              <w:spacing w:before="60" w:after="60"/>
            </w:pPr>
            <w:r/>
            <w:r>
              <w:rPr>
                <w:b/>
                <w:color w:val="FFFFFF"/>
              </w:rPr>
              <w:t>Quiet learners to contact</w:t>
            </w:r>
          </w:p>
        </w:tc>
        <w:tc>
          <w:tcPr>
            <w:tcW w:type="dxa" w:w="1814"/>
            <w:shd w:val="clear" w:color="auto" w:fill="5D008F"/>
          </w:tcPr>
          <w:p>
            <w:pPr>
              <w:spacing w:before="60" w:after="60"/>
            </w:pPr>
            <w:r/>
            <w:r>
              <w:rPr>
                <w:b/>
                <w:color w:val="FFFFFF"/>
              </w:rPr>
              <w:t>Explain or hold back?</w:t>
            </w:r>
          </w:p>
        </w:tc>
      </w:tr>
      <w:tr>
        <w:trPr>
          <w:cantSplit w:val="true"/>
          <w:trHeight w:val="1361"/>
        </w:trPr>
        <w:tc>
          <w:tcPr>
            <w:tcW w:type="dxa" w:w="794"/>
          </w:tcPr>
          <w:p>
            <w:pPr>
              <w:spacing w:before="60" w:after="60"/>
            </w:pPr>
            <w:r>
              <w:rPr>
                <w:b/>
              </w:rPr>
              <w:t>1</w:t>
            </w:r>
          </w:p>
        </w:tc>
        <w:tc>
          <w:tcPr>
            <w:tcW w:type="dxa" w:w="2154"/>
          </w:tcPr>
          <w:p>
            <w:pPr>
              <w:spacing w:before="60" w:after="60"/>
            </w:pPr>
            <w:r/>
          </w:p>
        </w:tc>
        <w:tc>
          <w:tcPr>
            <w:tcW w:type="dxa" w:w="1134"/>
          </w:tcPr>
          <w:p>
            <w:pPr>
              <w:spacing w:before="60" w:after="60"/>
            </w:pPr>
            <w:r/>
          </w:p>
        </w:tc>
        <w:tc>
          <w:tcPr>
            <w:tcW w:type="dxa" w:w="2041"/>
          </w:tcPr>
          <w:p>
            <w:pPr>
              <w:spacing w:before="60" w:after="60"/>
            </w:pPr>
            <w:r/>
          </w:p>
        </w:tc>
        <w:tc>
          <w:tcPr>
            <w:tcW w:type="dxa" w:w="1701"/>
          </w:tcPr>
          <w:p>
            <w:pPr>
              <w:spacing w:before="60" w:after="60"/>
            </w:pPr>
            <w:r/>
          </w:p>
        </w:tc>
        <w:tc>
          <w:tcPr>
            <w:tcW w:type="dxa" w:w="1814"/>
          </w:tcPr>
          <w:p>
            <w:pPr>
              <w:spacing w:before="60" w:after="60"/>
            </w:pPr>
            <w:r/>
          </w:p>
        </w:tc>
      </w:tr>
      <w:tr>
        <w:trPr>
          <w:cantSplit w:val="true"/>
          <w:trHeight w:val="1361"/>
        </w:trPr>
        <w:tc>
          <w:tcPr>
            <w:tcW w:type="dxa" w:w="794"/>
            <w:shd w:val="clear" w:color="auto" w:fill="F7F0FB"/>
          </w:tcPr>
          <w:p>
            <w:pPr>
              <w:spacing w:before="60" w:after="60"/>
            </w:pPr>
            <w:r>
              <w:rPr>
                <w:b/>
              </w:rPr>
              <w:t>2</w:t>
            </w:r>
          </w:p>
        </w:tc>
        <w:tc>
          <w:tcPr>
            <w:tcW w:type="dxa" w:w="2154"/>
            <w:shd w:val="clear" w:color="auto" w:fill="F7F0FB"/>
          </w:tcPr>
          <w:p>
            <w:pPr>
              <w:spacing w:before="60" w:after="60"/>
            </w:pPr>
            <w:r/>
          </w:p>
        </w:tc>
        <w:tc>
          <w:tcPr>
            <w:tcW w:type="dxa" w:w="1134"/>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814"/>
            <w:shd w:val="clear" w:color="auto" w:fill="F7F0FB"/>
          </w:tcPr>
          <w:p>
            <w:pPr>
              <w:spacing w:before="60" w:after="60"/>
            </w:pPr>
            <w:r/>
          </w:p>
        </w:tc>
      </w:tr>
      <w:tr>
        <w:trPr>
          <w:cantSplit w:val="true"/>
          <w:trHeight w:val="1361"/>
        </w:trPr>
        <w:tc>
          <w:tcPr>
            <w:tcW w:type="dxa" w:w="794"/>
          </w:tcPr>
          <w:p>
            <w:pPr>
              <w:spacing w:before="60" w:after="60"/>
            </w:pPr>
            <w:r>
              <w:rPr>
                <w:b/>
              </w:rPr>
              <w:t>3</w:t>
            </w:r>
          </w:p>
        </w:tc>
        <w:tc>
          <w:tcPr>
            <w:tcW w:type="dxa" w:w="2154"/>
          </w:tcPr>
          <w:p>
            <w:pPr>
              <w:spacing w:before="60" w:after="60"/>
            </w:pPr>
            <w:r/>
          </w:p>
        </w:tc>
        <w:tc>
          <w:tcPr>
            <w:tcW w:type="dxa" w:w="1134"/>
          </w:tcPr>
          <w:p>
            <w:pPr>
              <w:spacing w:before="60" w:after="60"/>
            </w:pPr>
            <w:r/>
          </w:p>
        </w:tc>
        <w:tc>
          <w:tcPr>
            <w:tcW w:type="dxa" w:w="2041"/>
          </w:tcPr>
          <w:p>
            <w:pPr>
              <w:spacing w:before="60" w:after="60"/>
            </w:pPr>
            <w:r/>
          </w:p>
        </w:tc>
        <w:tc>
          <w:tcPr>
            <w:tcW w:type="dxa" w:w="1701"/>
          </w:tcPr>
          <w:p>
            <w:pPr>
              <w:spacing w:before="60" w:after="60"/>
            </w:pPr>
            <w:r/>
          </w:p>
        </w:tc>
        <w:tc>
          <w:tcPr>
            <w:tcW w:type="dxa" w:w="1814"/>
          </w:tcPr>
          <w:p>
            <w:pPr>
              <w:spacing w:before="60" w:after="60"/>
            </w:pPr>
            <w:r/>
          </w:p>
        </w:tc>
      </w:tr>
      <w:tr>
        <w:trPr>
          <w:cantSplit w:val="true"/>
          <w:trHeight w:val="1361"/>
        </w:trPr>
        <w:tc>
          <w:tcPr>
            <w:tcW w:type="dxa" w:w="794"/>
            <w:shd w:val="clear" w:color="auto" w:fill="F7F0FB"/>
          </w:tcPr>
          <w:p>
            <w:pPr>
              <w:spacing w:before="60" w:after="60"/>
            </w:pPr>
            <w:r>
              <w:rPr>
                <w:b/>
              </w:rPr>
              <w:t>4</w:t>
            </w:r>
          </w:p>
        </w:tc>
        <w:tc>
          <w:tcPr>
            <w:tcW w:type="dxa" w:w="2154"/>
            <w:shd w:val="clear" w:color="auto" w:fill="F7F0FB"/>
          </w:tcPr>
          <w:p>
            <w:pPr>
              <w:spacing w:before="60" w:after="60"/>
            </w:pPr>
            <w:r/>
          </w:p>
        </w:tc>
        <w:tc>
          <w:tcPr>
            <w:tcW w:type="dxa" w:w="1134"/>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814"/>
            <w:shd w:val="clear" w:color="auto" w:fill="F7F0FB"/>
          </w:tcPr>
          <w:p>
            <w:pPr>
              <w:spacing w:before="60" w:after="60"/>
            </w:pPr>
            <w:r/>
          </w:p>
        </w:tc>
      </w:tr>
      <w:tr>
        <w:trPr>
          <w:cantSplit w:val="true"/>
          <w:trHeight w:val="1361"/>
        </w:trPr>
        <w:tc>
          <w:tcPr>
            <w:tcW w:type="dxa" w:w="794"/>
          </w:tcPr>
          <w:p>
            <w:pPr>
              <w:spacing w:before="60" w:after="60"/>
            </w:pPr>
            <w:r>
              <w:rPr>
                <w:b/>
              </w:rPr>
              <w:t>5</w:t>
            </w:r>
          </w:p>
        </w:tc>
        <w:tc>
          <w:tcPr>
            <w:tcW w:type="dxa" w:w="2154"/>
          </w:tcPr>
          <w:p>
            <w:pPr>
              <w:spacing w:before="60" w:after="60"/>
            </w:pPr>
            <w:r/>
          </w:p>
        </w:tc>
        <w:tc>
          <w:tcPr>
            <w:tcW w:type="dxa" w:w="1134"/>
          </w:tcPr>
          <w:p>
            <w:pPr>
              <w:spacing w:before="60" w:after="60"/>
            </w:pPr>
            <w:r/>
          </w:p>
        </w:tc>
        <w:tc>
          <w:tcPr>
            <w:tcW w:type="dxa" w:w="2041"/>
          </w:tcPr>
          <w:p>
            <w:pPr>
              <w:spacing w:before="60" w:after="60"/>
            </w:pPr>
            <w:r/>
          </w:p>
        </w:tc>
        <w:tc>
          <w:tcPr>
            <w:tcW w:type="dxa" w:w="1701"/>
          </w:tcPr>
          <w:p>
            <w:pPr>
              <w:spacing w:before="60" w:after="60"/>
            </w:pPr>
            <w:r/>
          </w:p>
        </w:tc>
        <w:tc>
          <w:tcPr>
            <w:tcW w:type="dxa" w:w="1814"/>
          </w:tcPr>
          <w:p>
            <w:pPr>
              <w:spacing w:before="60" w:after="60"/>
            </w:pPr>
            <w:r/>
          </w:p>
        </w:tc>
      </w:tr>
      <w:tr>
        <w:trPr>
          <w:cantSplit w:val="true"/>
          <w:trHeight w:val="1361"/>
        </w:trPr>
        <w:tc>
          <w:tcPr>
            <w:tcW w:type="dxa" w:w="794"/>
            <w:shd w:val="clear" w:color="auto" w:fill="F7F0FB"/>
          </w:tcPr>
          <w:p>
            <w:pPr>
              <w:spacing w:before="60" w:after="60"/>
            </w:pPr>
            <w:r>
              <w:rPr>
                <w:b/>
              </w:rPr>
              <w:t>6</w:t>
            </w:r>
          </w:p>
        </w:tc>
        <w:tc>
          <w:tcPr>
            <w:tcW w:type="dxa" w:w="2154"/>
            <w:shd w:val="clear" w:color="auto" w:fill="F7F0FB"/>
          </w:tcPr>
          <w:p>
            <w:pPr>
              <w:spacing w:before="60" w:after="60"/>
            </w:pPr>
            <w:r/>
          </w:p>
        </w:tc>
        <w:tc>
          <w:tcPr>
            <w:tcW w:type="dxa" w:w="1134"/>
            <w:shd w:val="clear" w:color="auto" w:fill="F7F0FB"/>
          </w:tcPr>
          <w:p>
            <w:pPr>
              <w:spacing w:before="60" w:after="60"/>
            </w:pPr>
            <w:r/>
          </w:p>
        </w:tc>
        <w:tc>
          <w:tcPr>
            <w:tcW w:type="dxa" w:w="2041"/>
            <w:shd w:val="clear" w:color="auto" w:fill="F7F0FB"/>
          </w:tcPr>
          <w:p>
            <w:pPr>
              <w:spacing w:before="60" w:after="60"/>
            </w:pPr>
            <w:r/>
          </w:p>
        </w:tc>
        <w:tc>
          <w:tcPr>
            <w:tcW w:type="dxa" w:w="1701"/>
            <w:shd w:val="clear" w:color="auto" w:fill="F7F0FB"/>
          </w:tcPr>
          <w:p>
            <w:pPr>
              <w:spacing w:before="60" w:after="60"/>
            </w:pPr>
            <w:r/>
          </w:p>
        </w:tc>
        <w:tc>
          <w:tcPr>
            <w:tcW w:type="dxa" w:w="1814"/>
            <w:shd w:val="clear" w:color="auto" w:fill="F7F0FB"/>
          </w:tcPr>
          <w:p>
            <w:pPr>
              <w:spacing w:before="60" w:after="60"/>
            </w:pPr>
            <w:r/>
          </w:p>
        </w:tc>
      </w:tr>
    </w:tbl>
    <w:p>
      <w:pPr>
        <w:keepNext/>
        <w:pageBreakBefore/>
        <w:spacing w:before="240" w:after="80"/>
      </w:pPr>
      <w:r>
        <w:rPr>
          <w:b/>
          <w:color w:val="5D008F"/>
          <w:sz w:val="28"/>
        </w:rPr>
        <w:t>End-of-cohort feedback form</w:t>
      </w:r>
    </w:p>
    <w:p>
      <w:r>
        <w:t>Six items adapted from the Community of Inquiry Survey (Arbaugh and colleagues, 2008), coi.athabascau.ca, which is an open resource under a Creative Commons licence. We changed 'instructor' to 'facilitator' and 'course' to 'cohort', and this adapted form is shared under the same licence. This six-item adaptation has not been validated as a scale. The items ask how learners saw the cohort, not what they learned, so read the answers next to the groups' explanations and the trial reports.</w:t>
      </w:r>
    </w:p>
    <w:p>
      <w:r>
        <w:t>Rate each statement: 1 = strongly disagree, 2 = disagree, 3 = neutral, 4 = agree, 5 = strongly agree.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6236"/>
            <w:shd w:val="clear" w:color="auto" w:fill="5D008F"/>
          </w:tcPr>
          <w:p>
            <w:pPr>
              <w:spacing w:before="60" w:after="60"/>
            </w:pPr>
            <w:r/>
            <w:r>
              <w:rPr>
                <w:b/>
                <w:color w:val="FFFFFF"/>
              </w:rPr>
              <w:t>Statement</w:t>
            </w:r>
          </w:p>
        </w:tc>
        <w:tc>
          <w:tcPr>
            <w:tcW w:type="dxa" w:w="680"/>
            <w:shd w:val="clear" w:color="auto" w:fill="5D008F"/>
          </w:tcPr>
          <w:p>
            <w:pPr>
              <w:spacing w:before="60" w:after="60"/>
            </w:pPr>
            <w:r/>
            <w:r>
              <w:rPr>
                <w:b/>
                <w:color w:val="FFFFFF"/>
              </w:rPr>
              <w:t>1</w:t>
            </w:r>
          </w:p>
        </w:tc>
        <w:tc>
          <w:tcPr>
            <w:tcW w:type="dxa" w:w="680"/>
            <w:shd w:val="clear" w:color="auto" w:fill="5D008F"/>
          </w:tcPr>
          <w:p>
            <w:pPr>
              <w:spacing w:before="60" w:after="60"/>
            </w:pPr>
            <w:r/>
            <w:r>
              <w:rPr>
                <w:b/>
                <w:color w:val="FFFFFF"/>
              </w:rPr>
              <w:t>2</w:t>
            </w:r>
          </w:p>
        </w:tc>
        <w:tc>
          <w:tcPr>
            <w:tcW w:type="dxa" w:w="680"/>
            <w:shd w:val="clear" w:color="auto" w:fill="5D008F"/>
          </w:tcPr>
          <w:p>
            <w:pPr>
              <w:spacing w:before="60" w:after="60"/>
            </w:pPr>
            <w:r/>
            <w:r>
              <w:rPr>
                <w:b/>
                <w:color w:val="FFFFFF"/>
              </w:rPr>
              <w:t>3</w:t>
            </w:r>
          </w:p>
        </w:tc>
        <w:tc>
          <w:tcPr>
            <w:tcW w:type="dxa" w:w="680"/>
            <w:shd w:val="clear" w:color="auto" w:fill="5D008F"/>
          </w:tcPr>
          <w:p>
            <w:pPr>
              <w:spacing w:before="60" w:after="60"/>
            </w:pPr>
            <w:r/>
            <w:r>
              <w:rPr>
                <w:b/>
                <w:color w:val="FFFFFF"/>
              </w:rPr>
              <w:t>4</w:t>
            </w:r>
          </w:p>
        </w:tc>
        <w:tc>
          <w:tcPr>
            <w:tcW w:type="dxa" w:w="680"/>
            <w:shd w:val="clear" w:color="auto" w:fill="5D008F"/>
          </w:tcPr>
          <w:p>
            <w:pPr>
              <w:spacing w:before="60" w:after="60"/>
            </w:pPr>
            <w:r/>
            <w:r>
              <w:rPr>
                <w:b/>
                <w:color w:val="FFFFFF"/>
              </w:rPr>
              <w:t>5</w:t>
            </w:r>
          </w:p>
        </w:tc>
      </w:tr>
      <w:tr>
        <w:trPr>
          <w:cantSplit w:val="true"/>
          <w:trHeight w:val="567"/>
        </w:trPr>
        <w:tc>
          <w:tcPr>
            <w:tcW w:type="dxa" w:w="6236"/>
          </w:tcPr>
          <w:p>
            <w:pPr>
              <w:spacing w:before="60" w:after="60"/>
            </w:pPr>
            <w:r>
              <w:rPr>
                <w:b/>
              </w:rPr>
              <w:t>The facilitator clearly communicated important cohort topics. (teaching presence)</w:t>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r>
      <w:tr>
        <w:trPr>
          <w:cantSplit w:val="true"/>
          <w:trHeight w:val="567"/>
        </w:trPr>
        <w:tc>
          <w:tcPr>
            <w:tcW w:type="dxa" w:w="6236"/>
            <w:shd w:val="clear" w:color="auto" w:fill="F7F0FB"/>
          </w:tcPr>
          <w:p>
            <w:pPr>
              <w:spacing w:before="60" w:after="60"/>
            </w:pPr>
            <w:r>
              <w:rPr>
                <w:b/>
              </w:rPr>
              <w:t>The facilitator helped to keep cohort participants engaged and participating in productive dialogue. (teaching presence)</w:t>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r>
      <w:tr>
        <w:trPr>
          <w:cantSplit w:val="true"/>
          <w:trHeight w:val="567"/>
        </w:trPr>
        <w:tc>
          <w:tcPr>
            <w:tcW w:type="dxa" w:w="6236"/>
          </w:tcPr>
          <w:p>
            <w:pPr>
              <w:spacing w:before="60" w:after="60"/>
            </w:pPr>
            <w:r>
              <w:rPr>
                <w:b/>
              </w:rPr>
              <w:t>I felt comfortable conversing through the online medium. (social presence)</w:t>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r>
      <w:tr>
        <w:trPr>
          <w:cantSplit w:val="true"/>
          <w:trHeight w:val="567"/>
        </w:trPr>
        <w:tc>
          <w:tcPr>
            <w:tcW w:type="dxa" w:w="6236"/>
            <w:shd w:val="clear" w:color="auto" w:fill="F7F0FB"/>
          </w:tcPr>
          <w:p>
            <w:pPr>
              <w:spacing w:before="60" w:after="60"/>
            </w:pPr>
            <w:r>
              <w:rPr>
                <w:b/>
              </w:rPr>
              <w:t>I felt comfortable disagreeing with other cohort participants while still maintaining a sense of trust. (social presence)</w:t>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r>
      <w:tr>
        <w:trPr>
          <w:cantSplit w:val="true"/>
          <w:trHeight w:val="567"/>
        </w:trPr>
        <w:tc>
          <w:tcPr>
            <w:tcW w:type="dxa" w:w="6236"/>
          </w:tcPr>
          <w:p>
            <w:pPr>
              <w:spacing w:before="60" w:after="60"/>
            </w:pPr>
            <w:r>
              <w:rPr>
                <w:b/>
              </w:rPr>
              <w:t>Problems posed increased my interest in cohort issues. (cognitive presence)</w:t>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c>
          <w:tcPr>
            <w:tcW w:type="dxa" w:w="680"/>
          </w:tcPr>
          <w:p>
            <w:pPr>
              <w:spacing w:before="60" w:after="60"/>
            </w:pPr>
            <w:r/>
          </w:p>
        </w:tc>
      </w:tr>
      <w:tr>
        <w:trPr>
          <w:cantSplit w:val="true"/>
          <w:trHeight w:val="567"/>
        </w:trPr>
        <w:tc>
          <w:tcPr>
            <w:tcW w:type="dxa" w:w="6236"/>
            <w:shd w:val="clear" w:color="auto" w:fill="F7F0FB"/>
          </w:tcPr>
          <w:p>
            <w:pPr>
              <w:spacing w:before="60" w:after="60"/>
            </w:pPr>
            <w:r>
              <w:rPr>
                <w:b/>
              </w:rPr>
              <w:t>I can apply the knowledge created in this cohort to my work or other non-class related activities. (cognitive presence)</w:t>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c>
          <w:tcPr>
            <w:tcW w:type="dxa" w:w="680"/>
            <w:shd w:val="clear" w:color="auto" w:fill="F7F0FB"/>
          </w:tcPr>
          <w:p>
            <w:pPr>
              <w:spacing w:before="60" w:after="60"/>
            </w:pPr>
            <w:r/>
          </w:p>
        </w:tc>
      </w:tr>
    </w:tbl>
    <w:p>
      <w:pPr>
        <w:spacing w:before="160"/>
      </w:pPr>
      <w:r>
        <w:t>One open question to add: what did you try in your own team, and what happened?</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