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Liste de contrôle des neuf événements pour l’e-learning</w:t>
      </w:r>
    </w:p>
    <w:p>
      <w:r>
        <w:rPr>
          <w:color w:val="5A5766"/>
          <w:sz w:val="22"/>
        </w:rPr>
        <w:t>Vérifiez une formation en autonomie ou un module au regard des neuf événements de Gagné avant de le publier.</w:t>
      </w:r>
    </w:p>
    <w:p>
      <w:r>
        <w:rPr>
          <w:i/>
          <w:color w:val="5A5766"/>
          <w:sz w:val="18"/>
        </w:rPr>
        <w:t>Extrait du blog Coursebox 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Liste de contrôle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Événement</w:t>
            </w:r>
          </w:p>
        </w:tc>
        <w:tc>
          <w:tcPr>
            <w:tcW w:type="dxa" w:w="544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Ce qu’il faut repérer dans une formation en ligne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Oui / non / à corriger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Capter l’attention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Commence par un problème, un cas ou une question réaliste, et non par une page d’accueil et un logo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Informer les apprenants de l’objectif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Indique en termes simples ce que les apprenants sauront faire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Stimuler le rappel des acquis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Demande aux apprenants de mobiliser une connaissance acquise avant le nouveau contenu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Présenter le contenu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Le contenu est découpé en petites unités et correspond à l’objectif ; rien de superflu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Guider l’apprentissage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Des exemples résolus, des aide-mémoire, des indices ou des analogies sont disponibles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Faire produire une performance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Les apprenants s’exercent à la tâche au lieu de seulement lire à son sujet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Donner un retour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Le retour sur la pratique explique la performance et aide à corriger ; il peut être donné après une évaluation lorsque c’est pertinent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Évaluer la performance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Une vérification finale teste l’objectif, avec un seuil de réussite clair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Favoriser la rétention et le transfert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Un aide-mémoire, une pratique de suivi ou une remise à niveau est prévu après la formation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Toutes les séances n’exigent pas les neuf événements</w:t>
      </w:r>
    </w:p>
    <w:p>
      <w:pPr>
        <w:pStyle w:val="ListBullet"/>
      </w:pPr>
      <w:r>
        <w:t>Adaptez, combinez ou répétez les événements selon l’objectif et les acquis. Une courte durée ne suffit pas à justifier la suppression du rappel, de la pratique ou de l’évaluation.</w:t>
      </w:r>
    </w:p>
    <w:p>
      <w:pPr>
        <w:pStyle w:val="ListBullet"/>
      </w:pPr>
      <w:r>
        <w:t>L’ordre peut changer. Certaines séances commencent par la pratique et présentent le contenu ensuite.</w:t>
      </w:r>
    </w:p>
    <w:p>
      <w:pPr>
        <w:pStyle w:val="ListBullet"/>
      </w:pPr>
      <w:r>
        <w:t>Les événements 6 et 7 sont ceux qui manquent le plus souvent dans les formations en autonomie. Vérifiez-les en premier.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modèle gratuit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