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Discover or Tell? Decision Sheet</w:t>
      </w:r>
    </w:p>
    <w:p>
      <w:r>
        <w:rPr>
          <w:color w:val="5A5766"/>
          <w:sz w:val="22"/>
        </w:rPr>
        <w:t>Decide, objective by objective, whether learners should work something out from cases with guidance, attempt a problem before being taught, or be told and then practise. The five questions are our synthesis of research by Mayer (2004), Kirschner, Sweller and Clark (2006), Kalyuga and colleagues (2003), Alfieri and colleagues (2011) and Kapur (2015). It is a planning aid, not a validated instrument, and it gives no score. A hypothetical credit union course is filled in as an example.</w:t>
      </w:r>
    </w:p>
    <w:p>
      <w:r>
        <w:rPr>
          <w:i/>
          <w:color w:val="5A5766"/>
          <w:sz w:val="18"/>
        </w:rPr>
        <w:t>From the Coursebox blog: coursebox.ai/blog/what-is-discovery-learning</w:t>
      </w:r>
    </w:p>
    <w:p>
      <w:pPr>
        <w:keepNext/>
        <w:spacing w:before="240" w:after="80"/>
      </w:pPr>
      <w:r>
        <w:rPr>
          <w:b/>
          <w:color w:val="5D008F"/>
          <w:sz w:val="28"/>
        </w:rPr>
        <w:t>How to use this sheet</w:t>
      </w:r>
    </w:p>
    <w:p>
      <w:pPr>
        <w:pStyle w:val="ListBullet"/>
      </w:pPr>
      <w:r>
        <w:t>List the learning objectives for one course or module, one per row.</w:t>
      </w:r>
    </w:p>
    <w:p>
      <w:pPr>
        <w:pStyle w:val="ListBullet"/>
      </w:pPr>
      <w:r>
        <w:t>Answer the five questions for each objective, thinking about the people who will actually take the course, not the most experienced among them.</w:t>
      </w:r>
    </w:p>
    <w:p>
      <w:pPr>
        <w:pStyle w:val="ListBullet"/>
      </w:pPr>
      <w:r>
        <w:t>Read the second question first. If the objective is a procedure, safety step, legal duty or a rule no case reveals, tell it and then give practice, whatever the other answers say.</w:t>
      </w:r>
    </w:p>
    <w:p>
      <w:pPr>
        <w:pStyle w:val="ListBullet"/>
      </w:pPr>
      <w:r>
        <w:t>Choose a design from the table on the next page and write it in the Decision column, with one line on why.</w:t>
      </w:r>
    </w:p>
    <w:p>
      <w:pPr>
        <w:pStyle w:val="ListBullet"/>
      </w:pPr>
      <w:r>
        <w:t>Split mixed objectives. A pattern learners can spot and the procedure that follows it usually need different designs.</w:t>
      </w:r>
    </w:p>
    <w:p>
      <w:pPr>
        <w:keepNext/>
        <w:spacing w:before="240" w:after="80"/>
      </w:pPr>
      <w:r>
        <w:rPr>
          <w:b/>
          <w:color w:val="5D008F"/>
          <w:sz w:val="28"/>
        </w:rPr>
        <w:t>The five questions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835"/>
            <w:shd w:val="clear" w:color="auto" w:fill="5D008F"/>
          </w:tcPr>
          <w:p>
            <w:pPr>
              <w:spacing w:before="60" w:after="60"/>
            </w:pPr>
            <w:r/>
            <w:r>
              <w:rPr>
                <w:b/>
                <w:color w:val="FFFFFF"/>
              </w:rPr>
              <w:t>Question</w:t>
            </w:r>
          </w:p>
        </w:tc>
        <w:tc>
          <w:tcPr>
            <w:tcW w:type="dxa" w:w="3402"/>
            <w:shd w:val="clear" w:color="auto" w:fill="5D008F"/>
          </w:tcPr>
          <w:p>
            <w:pPr>
              <w:spacing w:before="60" w:after="60"/>
            </w:pPr>
            <w:r/>
            <w:r>
              <w:rPr>
                <w:b/>
                <w:color w:val="FFFFFF"/>
              </w:rPr>
              <w:t>Lean towards discovery when</w:t>
            </w:r>
          </w:p>
        </w:tc>
        <w:tc>
          <w:tcPr>
            <w:tcW w:type="dxa" w:w="3402"/>
            <w:shd w:val="clear" w:color="auto" w:fill="5D008F"/>
          </w:tcPr>
          <w:p>
            <w:pPr>
              <w:spacing w:before="60" w:after="60"/>
            </w:pPr>
            <w:r/>
            <w:r>
              <w:rPr>
                <w:b/>
                <w:color w:val="FFFFFF"/>
              </w:rPr>
              <w:t>Lean towards telling when</w:t>
            </w:r>
          </w:p>
        </w:tc>
      </w:tr>
      <w:tr>
        <w:trPr>
          <w:cantSplit w:val="true"/>
        </w:trPr>
        <w:tc>
          <w:tcPr>
            <w:tcW w:type="dxa" w:w="2835"/>
          </w:tcPr>
          <w:p>
            <w:pPr>
              <w:spacing w:before="60" w:after="60"/>
            </w:pPr>
            <w:r>
              <w:rPr>
                <w:b/>
              </w:rPr>
              <w:t>1. Can learners already read the cases or materials?</w:t>
            </w:r>
          </w:p>
        </w:tc>
        <w:tc>
          <w:tcPr>
            <w:tcW w:type="dxa" w:w="3402"/>
          </w:tcPr>
          <w:p>
            <w:pPr>
              <w:spacing w:before="60" w:after="60"/>
            </w:pPr>
            <w:r>
              <w:t>They know the basics of the task and the records they will see</w:t>
            </w:r>
          </w:p>
        </w:tc>
        <w:tc>
          <w:tcPr>
            <w:tcW w:type="dxa" w:w="3402"/>
          </w:tcPr>
          <w:p>
            <w:pPr>
              <w:spacing w:before="60" w:after="60"/>
            </w:pPr>
            <w:r>
              <w:t>They are new to the task or the domain</w:t>
            </w:r>
          </w:p>
        </w:tc>
      </w:tr>
      <w:tr>
        <w:trPr>
          <w:cantSplit w:val="true"/>
        </w:trPr>
        <w:tc>
          <w:tcPr>
            <w:tcW w:type="dxa" w:w="2835"/>
            <w:shd w:val="clear" w:color="auto" w:fill="F7F0FB"/>
          </w:tcPr>
          <w:p>
            <w:pPr>
              <w:spacing w:before="60" w:after="60"/>
            </w:pPr>
            <w:r>
              <w:rPr>
                <w:b/>
              </w:rPr>
              <w:t>2. Could learners work the point out by comparing examples?</w:t>
            </w:r>
          </w:p>
        </w:tc>
        <w:tc>
          <w:tcPr>
            <w:tcW w:type="dxa" w:w="3402"/>
            <w:shd w:val="clear" w:color="auto" w:fill="F7F0FB"/>
          </w:tcPr>
          <w:p>
            <w:pPr>
              <w:spacing w:before="60" w:after="60"/>
            </w:pPr>
            <w:r>
              <w:t>It is a pattern or principle the cases can show</w:t>
            </w:r>
          </w:p>
        </w:tc>
        <w:tc>
          <w:tcPr>
            <w:tcW w:type="dxa" w:w="3402"/>
            <w:shd w:val="clear" w:color="auto" w:fill="F7F0FB"/>
          </w:tcPr>
          <w:p>
            <w:pPr>
              <w:spacing w:before="60" w:after="60"/>
            </w:pPr>
            <w:r>
              <w:t>It is a rule, procedure, legal duty or fact the cases cannot show</w:t>
            </w:r>
          </w:p>
        </w:tc>
      </w:tr>
      <w:tr>
        <w:trPr>
          <w:cantSplit w:val="true"/>
        </w:trPr>
        <w:tc>
          <w:tcPr>
            <w:tcW w:type="dxa" w:w="2835"/>
          </w:tcPr>
          <w:p>
            <w:pPr>
              <w:spacing w:before="60" w:after="60"/>
            </w:pPr>
            <w:r>
              <w:rPr>
                <w:b/>
              </w:rPr>
              <w:t>3. Is a wrong first attempt safe?</w:t>
            </w:r>
          </w:p>
        </w:tc>
        <w:tc>
          <w:tcPr>
            <w:tcW w:type="dxa" w:w="3402"/>
          </w:tcPr>
          <w:p>
            <w:pPr>
              <w:spacing w:before="60" w:after="60"/>
            </w:pPr>
            <w:r>
              <w:t>Safe simulated practice, with corrective feedback before live work</w:t>
            </w:r>
          </w:p>
        </w:tc>
        <w:tc>
          <w:tcPr>
            <w:tcW w:type="dxa" w:w="3402"/>
          </w:tcPr>
          <w:p>
            <w:pPr>
              <w:spacing w:before="60" w:after="60"/>
            </w:pPr>
            <w:r>
              <w:t>A wrong habit could reach the job, or a mistake is costly</w:t>
            </w:r>
          </w:p>
        </w:tc>
      </w:tr>
      <w:tr>
        <w:trPr>
          <w:cantSplit w:val="true"/>
        </w:trPr>
        <w:tc>
          <w:tcPr>
            <w:tcW w:type="dxa" w:w="2835"/>
            <w:shd w:val="clear" w:color="auto" w:fill="F7F0FB"/>
          </w:tcPr>
          <w:p>
            <w:pPr>
              <w:spacing w:before="60" w:after="60"/>
            </w:pPr>
            <w:r>
              <w:rPr>
                <w:b/>
              </w:rPr>
              <w:t>4. Is there time to attempt, get feedback and then be taught?</w:t>
            </w:r>
          </w:p>
        </w:tc>
        <w:tc>
          <w:tcPr>
            <w:tcW w:type="dxa" w:w="3402"/>
            <w:shd w:val="clear" w:color="auto" w:fill="F7F0FB"/>
          </w:tcPr>
          <w:p>
            <w:pPr>
              <w:spacing w:before="60" w:after="60"/>
            </w:pPr>
            <w:r>
              <w:t>Yes, the module has room for all three</w:t>
            </w:r>
          </w:p>
        </w:tc>
        <w:tc>
          <w:tcPr>
            <w:tcW w:type="dxa" w:w="3402"/>
            <w:shd w:val="clear" w:color="auto" w:fill="F7F0FB"/>
          </w:tcPr>
          <w:p>
            <w:pPr>
              <w:spacing w:before="60" w:after="60"/>
            </w:pPr>
            <w:r>
              <w:t>People need the skill today, with little time</w:t>
            </w:r>
          </w:p>
        </w:tc>
      </w:tr>
      <w:tr>
        <w:trPr>
          <w:cantSplit w:val="true"/>
        </w:trPr>
        <w:tc>
          <w:tcPr>
            <w:tcW w:type="dxa" w:w="2835"/>
          </w:tcPr>
          <w:p>
            <w:pPr>
              <w:spacing w:before="60" w:after="60"/>
            </w:pPr>
            <w:r>
              <w:rPr>
                <w:b/>
              </w:rPr>
              <w:t>5. Will the explanation come straight after the attempt?</w:t>
            </w:r>
          </w:p>
        </w:tc>
        <w:tc>
          <w:tcPr>
            <w:tcW w:type="dxa" w:w="3402"/>
          </w:tcPr>
          <w:p>
            <w:pPr>
              <w:spacing w:before="60" w:after="60"/>
            </w:pPr>
            <w:r>
              <w:t>Yes, it is planned for the next step</w:t>
            </w:r>
          </w:p>
        </w:tc>
        <w:tc>
          <w:tcPr>
            <w:tcW w:type="dxa" w:w="3402"/>
          </w:tcPr>
          <w:p>
            <w:pPr>
              <w:spacing w:before="60" w:after="60"/>
            </w:pPr>
            <w:r>
              <w:t>No explanation is planned, or it comes much later</w:t>
            </w:r>
          </w:p>
        </w:tc>
      </w:tr>
    </w:tbl>
    <w:p>
      <w:pPr>
        <w:spacing w:before="160"/>
      </w:pPr>
      <w:r>
        <w:t>Questions 1 and 2 draw on the expertise reversal effect (Kalyuga and colleagues, 2003) and on Kirschner, Sweller and Clark's point that learners need prior knowledge to guide themselves (2006). Question 5 draws on Kapur's consolidation phase (2015): the teaching after the attempt is part of the design.</w:t>
      </w:r>
    </w:p>
    <w:p>
      <w:pPr>
        <w:keepNext/>
        <w:pageBreakBefore/>
        <w:spacing w:before="240" w:after="80"/>
      </w:pPr>
      <w:r>
        <w:rPr>
          <w:b/>
          <w:color w:val="5D008F"/>
          <w:sz w:val="28"/>
        </w:rPr>
        <w:t>Choosing the design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
              <w:rPr>
                <w:b/>
                <w:color w:val="FFFFFF"/>
              </w:rPr>
              <w:t>Design</w:t>
            </w:r>
          </w:p>
        </w:tc>
        <w:tc>
          <w:tcPr>
            <w:tcW w:type="dxa" w:w="3402"/>
            <w:shd w:val="clear" w:color="auto" w:fill="5D008F"/>
          </w:tcPr>
          <w:p>
            <w:pPr>
              <w:spacing w:before="60" w:after="60"/>
            </w:pPr>
            <w:r/>
            <w:r>
              <w:rPr>
                <w:b/>
                <w:color w:val="FFFFFF"/>
              </w:rPr>
              <w:t>Use it when</w:t>
            </w:r>
          </w:p>
        </w:tc>
        <w:tc>
          <w:tcPr>
            <w:tcW w:type="dxa" w:w="3969"/>
            <w:shd w:val="clear" w:color="auto" w:fill="5D008F"/>
          </w:tcPr>
          <w:p>
            <w:pPr>
              <w:spacing w:before="60" w:after="60"/>
            </w:pPr>
            <w:r/>
            <w:r>
              <w:rPr>
                <w:b/>
                <w:color w:val="FFFFFF"/>
              </w:rPr>
              <w:t>What to build</w:t>
            </w:r>
          </w:p>
        </w:tc>
      </w:tr>
      <w:tr>
        <w:trPr>
          <w:cantSplit w:val="true"/>
        </w:trPr>
        <w:tc>
          <w:tcPr>
            <w:tcW w:type="dxa" w:w="2268"/>
          </w:tcPr>
          <w:p>
            <w:pPr>
              <w:spacing w:before="60" w:after="60"/>
            </w:pPr>
            <w:r>
              <w:rPr>
                <w:b/>
              </w:rPr>
              <w:t>Guided discovery</w:t>
            </w:r>
          </w:p>
        </w:tc>
        <w:tc>
          <w:tcPr>
            <w:tcW w:type="dxa" w:w="3402"/>
          </w:tcPr>
          <w:p>
            <w:pPr>
              <w:spacing w:before="60" w:after="60"/>
            </w:pPr>
            <w:r>
              <w:t>Learners have the basics and the pattern can be seen by comparing cases</w:t>
            </w:r>
          </w:p>
        </w:tc>
        <w:tc>
          <w:tcPr>
            <w:tcW w:type="dxa" w:w="3969"/>
          </w:tcPr>
          <w:p>
            <w:pPr>
              <w:spacing w:before="60" w:after="60"/>
            </w:pPr>
            <w:r>
              <w:t>Cases that differ on the pattern, hints learners open one at a time, feedback on each attempt, then the explicit rule</w:t>
            </w:r>
          </w:p>
        </w:tc>
      </w:tr>
      <w:tr>
        <w:trPr>
          <w:cantSplit w:val="true"/>
        </w:trPr>
        <w:tc>
          <w:tcPr>
            <w:tcW w:type="dxa" w:w="2268"/>
            <w:shd w:val="clear" w:color="auto" w:fill="F7F0FB"/>
          </w:tcPr>
          <w:p>
            <w:pPr>
              <w:spacing w:before="60" w:after="60"/>
            </w:pPr>
            <w:r>
              <w:rPr>
                <w:b/>
              </w:rPr>
              <w:t>Problem first, then teach</w:t>
            </w:r>
          </w:p>
        </w:tc>
        <w:tc>
          <w:tcPr>
            <w:tcW w:type="dxa" w:w="3402"/>
            <w:shd w:val="clear" w:color="auto" w:fill="F7F0FB"/>
          </w:tcPr>
          <w:p>
            <w:pPr>
              <w:spacing w:before="60" w:after="60"/>
            </w:pPr>
            <w:r>
              <w:t>There is time to try a hard problem and fail safely, and the goal is handling new cases</w:t>
            </w:r>
          </w:p>
        </w:tc>
        <w:tc>
          <w:tcPr>
            <w:tcW w:type="dxa" w:w="3969"/>
            <w:shd w:val="clear" w:color="auto" w:fill="F7F0FB"/>
          </w:tcPr>
          <w:p>
            <w:pPr>
              <w:spacing w:before="60" w:after="60"/>
            </w:pPr>
            <w:r>
              <w:t>One well-tested problem, encouragement to keep going but no answer, then teaching that compares attempts with the correct solution</w:t>
            </w:r>
          </w:p>
        </w:tc>
      </w:tr>
      <w:tr>
        <w:trPr>
          <w:cantSplit w:val="true"/>
        </w:trPr>
        <w:tc>
          <w:tcPr>
            <w:tcW w:type="dxa" w:w="2268"/>
          </w:tcPr>
          <w:p>
            <w:pPr>
              <w:spacing w:before="60" w:after="60"/>
            </w:pPr>
            <w:r>
              <w:rPr>
                <w:b/>
              </w:rPr>
              <w:t>Tell, then practise</w:t>
            </w:r>
          </w:p>
        </w:tc>
        <w:tc>
          <w:tcPr>
            <w:tcW w:type="dxa" w:w="3402"/>
          </w:tcPr>
          <w:p>
            <w:pPr>
              <w:spacing w:before="60" w:after="60"/>
            </w:pPr>
            <w:r>
              <w:t>The point is a rule, procedure or duty, learners are new, or a mistake is costly</w:t>
            </w:r>
          </w:p>
        </w:tc>
        <w:tc>
          <w:tcPr>
            <w:tcW w:type="dxa" w:w="3969"/>
          </w:tcPr>
          <w:p>
            <w:pPr>
              <w:spacing w:before="60" w:after="60"/>
            </w:pPr>
            <w:r>
              <w:t>A clear explanation or worked example, then practice on a realistic case with feedback</w:t>
            </w:r>
          </w:p>
        </w:tc>
      </w:tr>
      <w:tr>
        <w:trPr>
          <w:cantSplit w:val="true"/>
        </w:trPr>
        <w:tc>
          <w:tcPr>
            <w:tcW w:type="dxa" w:w="2268"/>
            <w:shd w:val="clear" w:color="auto" w:fill="F7F0FB"/>
          </w:tcPr>
          <w:p>
            <w:pPr>
              <w:spacing w:before="60" w:after="60"/>
            </w:pPr>
            <w:r>
              <w:rPr>
                <w:b/>
              </w:rPr>
              <w:t>Split the objective</w:t>
            </w:r>
          </w:p>
        </w:tc>
        <w:tc>
          <w:tcPr>
            <w:tcW w:type="dxa" w:w="3402"/>
            <w:shd w:val="clear" w:color="auto" w:fill="F7F0FB"/>
          </w:tcPr>
          <w:p>
            <w:pPr>
              <w:spacing w:before="60" w:after="60"/>
            </w:pPr>
            <w:r>
              <w:t>It mixes a pattern with fixed steps</w:t>
            </w:r>
          </w:p>
        </w:tc>
        <w:tc>
          <w:tcPr>
            <w:tcW w:type="dxa" w:w="3969"/>
            <w:shd w:val="clear" w:color="auto" w:fill="F7F0FB"/>
          </w:tcPr>
          <w:p>
            <w:pPr>
              <w:spacing w:before="60" w:after="60"/>
            </w:pPr>
            <w:r>
              <w:t>Discover the pattern, then tell the steps that follow it</w:t>
            </w:r>
          </w:p>
        </w:tc>
      </w:tr>
    </w:tbl>
    <w:p>
      <w:pPr>
        <w:keepNext/>
        <w:spacing w:before="240" w:after="80"/>
      </w:pPr>
      <w:r>
        <w:rPr>
          <w:b/>
          <w:color w:val="5D008F"/>
          <w:sz w:val="28"/>
        </w:rPr>
        <w:t>Worked example: a credit union branch course</w:t>
      </w:r>
    </w:p>
    <w:p>
      <w:r>
        <w:t>Hypothetical example. A credit union is building a 45-minute course for branch customer service officers with at least 6 months on the counter. They passed a fraud awareness quiz but still processed scam-driven payments, because they checked warning signs one at a time.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381"/>
            <w:shd w:val="clear" w:color="auto" w:fill="5D008F"/>
          </w:tcPr>
          <w:p>
            <w:pPr>
              <w:spacing w:before="60" w:after="60"/>
            </w:pPr>
            <w:r/>
            <w:r>
              <w:rPr>
                <w:b/>
                <w:color w:val="FFFFFF"/>
              </w:rPr>
              <w:t>Objective</w:t>
            </w:r>
          </w:p>
        </w:tc>
        <w:tc>
          <w:tcPr>
            <w:tcW w:type="dxa" w:w="3628"/>
            <w:shd w:val="clear" w:color="auto" w:fill="5D008F"/>
          </w:tcPr>
          <w:p>
            <w:pPr>
              <w:spacing w:before="60" w:after="60"/>
            </w:pPr>
            <w:r/>
            <w:r>
              <w:rPr>
                <w:b/>
                <w:color w:val="FFFFFF"/>
              </w:rPr>
              <w:t>Answers to the five questions</w:t>
            </w:r>
          </w:p>
        </w:tc>
        <w:tc>
          <w:tcPr>
            <w:tcW w:type="dxa" w:w="3628"/>
            <w:shd w:val="clear" w:color="auto" w:fill="5D008F"/>
          </w:tcPr>
          <w:p>
            <w:pPr>
              <w:spacing w:before="60" w:after="60"/>
            </w:pPr>
            <w:r/>
            <w:r>
              <w:rPr>
                <w:b/>
                <w:color w:val="FFFFFF"/>
              </w:rPr>
              <w:t>Decision and why</w:t>
            </w:r>
          </w:p>
        </w:tc>
      </w:tr>
      <w:tr>
        <w:trPr>
          <w:cantSplit w:val="true"/>
        </w:trPr>
        <w:tc>
          <w:tcPr>
            <w:tcW w:type="dxa" w:w="2381"/>
          </w:tcPr>
          <w:p>
            <w:pPr>
              <w:spacing w:before="60" w:after="60"/>
            </w:pPr>
            <w:r>
              <w:rPr>
                <w:b/>
              </w:rPr>
              <w:t>Spot when a payment request should be paused (two or more of four signals)</w:t>
            </w:r>
          </w:p>
        </w:tc>
        <w:tc>
          <w:tcPr>
            <w:tcW w:type="dxa" w:w="3628"/>
          </w:tcPr>
          <w:p>
            <w:pPr>
              <w:spacing w:before="60" w:after="60"/>
            </w:pPr>
            <w:r>
              <w:t>1 yes, officers can already see and read each member's payment history. 2 yes, comparing requests A to D shows the pattern. 3 yes, case files only. 4 yes, 45 minutes. 5 yes, the rule is taught in the next section</w:t>
            </w:r>
          </w:p>
        </w:tc>
        <w:tc>
          <w:tcPr>
            <w:tcW w:type="dxa" w:w="3628"/>
          </w:tcPr>
          <w:p>
            <w:pPr>
              <w:spacing w:before="60" w:after="60"/>
            </w:pPr>
            <w:r>
              <w:t>Guided discovery. Four case files, three hints opened one at a time, feedback on each request, then the four signals and the two-or-more rule taught against the officers' own answers</w:t>
            </w:r>
          </w:p>
        </w:tc>
      </w:tr>
      <w:tr>
        <w:trPr>
          <w:cantSplit w:val="true"/>
        </w:trPr>
        <w:tc>
          <w:tcPr>
            <w:tcW w:type="dxa" w:w="2381"/>
            <w:shd w:val="clear" w:color="auto" w:fill="F7F0FB"/>
          </w:tcPr>
          <w:p>
            <w:pPr>
              <w:spacing w:before="60" w:after="60"/>
            </w:pPr>
            <w:r>
              <w:rPr>
                <w:b/>
              </w:rPr>
              <w:t>Follow the procedure after a pause: do not process, use the conversation guide, refer to the fraud team</w:t>
            </w:r>
          </w:p>
        </w:tc>
        <w:tc>
          <w:tcPr>
            <w:tcW w:type="dxa" w:w="3628"/>
            <w:shd w:val="clear" w:color="auto" w:fill="F7F0FB"/>
          </w:tcPr>
          <w:p>
            <w:pPr>
              <w:spacing w:before="60" w:after="60"/>
            </w:pPr>
            <w:r>
              <w:t>1 yes. 2 no, no case reveals who to refer to or what to ask. 3 no, a wrong guess could become a habit at the counter</w:t>
            </w:r>
          </w:p>
        </w:tc>
        <w:tc>
          <w:tcPr>
            <w:tcW w:type="dxa" w:w="3628"/>
            <w:shd w:val="clear" w:color="auto" w:fill="F7F0FB"/>
          </w:tcPr>
          <w:p>
            <w:pPr>
              <w:spacing w:before="60" w:after="60"/>
            </w:pPr>
            <w:r>
              <w:t>Tell, then practise. Teach the procedure directly, then the adviser-on-the-line scenario with three options and their consequences</w:t>
            </w:r>
          </w:p>
        </w:tc>
      </w:tr>
      <w:tr>
        <w:trPr>
          <w:cantSplit w:val="true"/>
        </w:trPr>
        <w:tc>
          <w:tcPr>
            <w:tcW w:type="dxa" w:w="2381"/>
          </w:tcPr>
          <w:p>
            <w:pPr>
              <w:spacing w:before="60" w:after="60"/>
            </w:pPr>
            <w:r>
              <w:rPr>
                <w:b/>
              </w:rPr>
              <w:t>Know what an officer may not do on their own</w:t>
            </w:r>
          </w:p>
        </w:tc>
        <w:tc>
          <w:tcPr>
            <w:tcW w:type="dxa" w:w="3628"/>
          </w:tcPr>
          <w:p>
            <w:pPr>
              <w:spacing w:before="60" w:after="60"/>
            </w:pPr>
            <w:r>
              <w:t>2 no, these are policy and duty: never refuse a member's money on their own judgement, accuse the member, or complete a payment while they are on a call with the person asking for it. 3 no, getting them wrong harms members</w:t>
            </w:r>
          </w:p>
        </w:tc>
        <w:tc>
          <w:tcPr>
            <w:tcW w:type="dxa" w:w="3628"/>
          </w:tcPr>
          <w:p>
            <w:pPr>
              <w:spacing w:before="60" w:after="60"/>
            </w:pPr>
            <w:r>
              <w:t>Tell. State them plainly in the procedure section and repeat them in the wrap-up</w:t>
            </w:r>
          </w:p>
        </w:tc>
      </w:tr>
      <w:tr>
        <w:trPr>
          <w:cantSplit w:val="true"/>
        </w:trPr>
        <w:tc>
          <w:tcPr>
            <w:tcW w:type="dxa" w:w="2381"/>
            <w:shd w:val="clear" w:color="auto" w:fill="F7F0FB"/>
          </w:tcPr>
          <w:p>
            <w:pPr>
              <w:spacing w:before="60" w:after="60"/>
            </w:pPr>
            <w:r>
              <w:rPr>
                <w:b/>
              </w:rPr>
              <w:t>Apply the supplied verification procedure to emailed supplier bank details</w:t>
            </w:r>
          </w:p>
        </w:tc>
        <w:tc>
          <w:tcPr>
            <w:tcW w:type="dxa" w:w="3628"/>
            <w:shd w:val="clear" w:color="auto" w:fill="F7F0FB"/>
          </w:tcPr>
          <w:p>
            <w:pPr>
              <w:spacing w:before="60" w:after="60"/>
            </w:pPr>
            <w:r>
              <w:t>After teaching the separate bank-change verification rule. It cannot be inferred from the two-signal threshold; use safe practice and feedback</w:t>
            </w:r>
          </w:p>
        </w:tc>
        <w:tc>
          <w:tcPr>
            <w:tcW w:type="dxa" w:w="3628"/>
            <w:shd w:val="clear" w:color="auto" w:fill="F7F0FB"/>
          </w:tcPr>
          <w:p>
            <w:pPr>
              <w:spacing w:before="60" w:after="60"/>
            </w:pPr>
            <w:r>
              <w:t>Attempt with no hints first, then feedback. This checks application of the supplied verification procedure on a new case</w:t>
            </w:r>
          </w:p>
        </w:tc>
      </w:tr>
    </w:tbl>
    <w:p>
      <w:pPr>
        <w:keepNext/>
        <w:pageBreakBefore/>
        <w:spacing w:before="240" w:after="80"/>
      </w:pPr>
      <w:r>
        <w:rPr>
          <w:b/>
          <w:color w:val="5D008F"/>
          <w:sz w:val="28"/>
        </w:rPr>
        <w:t>Your decision sheet</w:t>
      </w:r>
    </w:p>
    <w:p>
      <w:r>
        <w:t>Course or module:</w:t>
      </w:r>
    </w:p>
    <w:p>
      <w:r>
        <w:t>Learners and what they already know:</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381"/>
            <w:shd w:val="clear" w:color="auto" w:fill="5D008F"/>
          </w:tcPr>
          <w:p>
            <w:pPr>
              <w:spacing w:before="60" w:after="60"/>
            </w:pPr>
            <w:r/>
            <w:r>
              <w:rPr>
                <w:b/>
                <w:color w:val="FFFFFF"/>
              </w:rPr>
              <w:t>Objective</w:t>
            </w:r>
          </w:p>
        </w:tc>
        <w:tc>
          <w:tcPr>
            <w:tcW w:type="dxa" w:w="3628"/>
            <w:shd w:val="clear" w:color="auto" w:fill="5D008F"/>
          </w:tcPr>
          <w:p>
            <w:pPr>
              <w:spacing w:before="60" w:after="60"/>
            </w:pPr>
            <w:r/>
            <w:r>
              <w:rPr>
                <w:b/>
                <w:color w:val="FFFFFF"/>
              </w:rPr>
              <w:t>Answers to the five questions (1 to 5)</w:t>
            </w:r>
          </w:p>
        </w:tc>
        <w:tc>
          <w:tcPr>
            <w:tcW w:type="dxa" w:w="3628"/>
            <w:shd w:val="clear" w:color="auto" w:fill="5D008F"/>
          </w:tcPr>
          <w:p>
            <w:pPr>
              <w:spacing w:before="60" w:after="60"/>
            </w:pPr>
            <w:r/>
            <w:r>
              <w:rPr>
                <w:b/>
                <w:color w:val="FFFFFF"/>
              </w:rPr>
              <w:t>Decision and why</w:t>
            </w:r>
          </w:p>
        </w:tc>
      </w:tr>
      <w:tr>
        <w:trPr>
          <w:cantSplit w:val="true"/>
          <w:trHeight w:val="1474"/>
        </w:trPr>
        <w:tc>
          <w:tcPr>
            <w:tcW w:type="dxa" w:w="2381"/>
          </w:tcPr>
          <w:p>
            <w:pPr>
              <w:spacing w:before="60" w:after="60"/>
            </w:pPr>
            <w:r>
              <w:rPr>
                <w:b/>
              </w:rPr>
            </w:r>
          </w:p>
        </w:tc>
        <w:tc>
          <w:tcPr>
            <w:tcW w:type="dxa" w:w="3628"/>
          </w:tcPr>
          <w:p>
            <w:pPr>
              <w:spacing w:before="60" w:after="60"/>
            </w:pPr>
            <w:r/>
          </w:p>
        </w:tc>
        <w:tc>
          <w:tcPr>
            <w:tcW w:type="dxa" w:w="3628"/>
          </w:tcPr>
          <w:p>
            <w:pPr>
              <w:spacing w:before="60" w:after="60"/>
            </w:pPr>
            <w:r/>
          </w:p>
        </w:tc>
      </w:tr>
      <w:tr>
        <w:trPr>
          <w:cantSplit w:val="true"/>
          <w:trHeight w:val="1474"/>
        </w:trPr>
        <w:tc>
          <w:tcPr>
            <w:tcW w:type="dxa" w:w="2381"/>
            <w:shd w:val="clear" w:color="auto" w:fill="F7F0FB"/>
          </w:tcPr>
          <w:p>
            <w:pPr>
              <w:spacing w:before="60" w:after="60"/>
            </w:pPr>
            <w:r>
              <w:rPr>
                <w:b/>
              </w:rPr>
            </w:r>
          </w:p>
        </w:tc>
        <w:tc>
          <w:tcPr>
            <w:tcW w:type="dxa" w:w="3628"/>
            <w:shd w:val="clear" w:color="auto" w:fill="F7F0FB"/>
          </w:tcPr>
          <w:p>
            <w:pPr>
              <w:spacing w:before="60" w:after="60"/>
            </w:pPr>
            <w:r/>
          </w:p>
        </w:tc>
        <w:tc>
          <w:tcPr>
            <w:tcW w:type="dxa" w:w="3628"/>
            <w:shd w:val="clear" w:color="auto" w:fill="F7F0FB"/>
          </w:tcPr>
          <w:p>
            <w:pPr>
              <w:spacing w:before="60" w:after="60"/>
            </w:pPr>
            <w:r/>
          </w:p>
        </w:tc>
      </w:tr>
      <w:tr>
        <w:trPr>
          <w:cantSplit w:val="true"/>
          <w:trHeight w:val="1474"/>
        </w:trPr>
        <w:tc>
          <w:tcPr>
            <w:tcW w:type="dxa" w:w="2381"/>
          </w:tcPr>
          <w:p>
            <w:pPr>
              <w:spacing w:before="60" w:after="60"/>
            </w:pPr>
            <w:r>
              <w:rPr>
                <w:b/>
              </w:rPr>
            </w:r>
          </w:p>
        </w:tc>
        <w:tc>
          <w:tcPr>
            <w:tcW w:type="dxa" w:w="3628"/>
          </w:tcPr>
          <w:p>
            <w:pPr>
              <w:spacing w:before="60" w:after="60"/>
            </w:pPr>
            <w:r/>
          </w:p>
        </w:tc>
        <w:tc>
          <w:tcPr>
            <w:tcW w:type="dxa" w:w="3628"/>
          </w:tcPr>
          <w:p>
            <w:pPr>
              <w:spacing w:before="60" w:after="60"/>
            </w:pPr>
            <w:r/>
          </w:p>
        </w:tc>
      </w:tr>
      <w:tr>
        <w:trPr>
          <w:cantSplit w:val="true"/>
          <w:trHeight w:val="1474"/>
        </w:trPr>
        <w:tc>
          <w:tcPr>
            <w:tcW w:type="dxa" w:w="2381"/>
            <w:shd w:val="clear" w:color="auto" w:fill="F7F0FB"/>
          </w:tcPr>
          <w:p>
            <w:pPr>
              <w:spacing w:before="60" w:after="60"/>
            </w:pPr>
            <w:r>
              <w:rPr>
                <w:b/>
              </w:rPr>
            </w:r>
          </w:p>
        </w:tc>
        <w:tc>
          <w:tcPr>
            <w:tcW w:type="dxa" w:w="3628"/>
            <w:shd w:val="clear" w:color="auto" w:fill="F7F0FB"/>
          </w:tcPr>
          <w:p>
            <w:pPr>
              <w:spacing w:before="60" w:after="60"/>
            </w:pPr>
            <w:r/>
          </w:p>
        </w:tc>
        <w:tc>
          <w:tcPr>
            <w:tcW w:type="dxa" w:w="3628"/>
            <w:shd w:val="clear" w:color="auto" w:fill="F7F0FB"/>
          </w:tcPr>
          <w:p>
            <w:pPr>
              <w:spacing w:before="60" w:after="60"/>
            </w:pPr>
            <w:r/>
          </w:p>
        </w:tc>
      </w:tr>
      <w:tr>
        <w:trPr>
          <w:cantSplit w:val="true"/>
          <w:trHeight w:val="1474"/>
        </w:trPr>
        <w:tc>
          <w:tcPr>
            <w:tcW w:type="dxa" w:w="2381"/>
          </w:tcPr>
          <w:p>
            <w:pPr>
              <w:spacing w:before="60" w:after="60"/>
            </w:pPr>
            <w:r>
              <w:rPr>
                <w:b/>
              </w:rPr>
            </w:r>
          </w:p>
        </w:tc>
        <w:tc>
          <w:tcPr>
            <w:tcW w:type="dxa" w:w="3628"/>
          </w:tcPr>
          <w:p>
            <w:pPr>
              <w:spacing w:before="60" w:after="60"/>
            </w:pPr>
            <w:r/>
          </w:p>
        </w:tc>
        <w:tc>
          <w:tcPr>
            <w:tcW w:type="dxa" w:w="3628"/>
          </w:tcPr>
          <w:p>
            <w:pPr>
              <w:spacing w:before="60" w:after="60"/>
            </w:pPr>
            <w:r/>
          </w:p>
        </w:tc>
      </w:tr>
      <w:tr>
        <w:trPr>
          <w:cantSplit w:val="true"/>
          <w:trHeight w:val="1474"/>
        </w:trPr>
        <w:tc>
          <w:tcPr>
            <w:tcW w:type="dxa" w:w="2381"/>
            <w:shd w:val="clear" w:color="auto" w:fill="F7F0FB"/>
          </w:tcPr>
          <w:p>
            <w:pPr>
              <w:spacing w:before="60" w:after="60"/>
            </w:pPr>
            <w:r>
              <w:rPr>
                <w:b/>
              </w:rPr>
            </w:r>
          </w:p>
        </w:tc>
        <w:tc>
          <w:tcPr>
            <w:tcW w:type="dxa" w:w="3628"/>
            <w:shd w:val="clear" w:color="auto" w:fill="F7F0FB"/>
          </w:tcPr>
          <w:p>
            <w:pPr>
              <w:spacing w:before="60" w:after="60"/>
            </w:pPr>
            <w:r/>
          </w:p>
        </w:tc>
        <w:tc>
          <w:tcPr>
            <w:tcW w:type="dxa" w:w="3628"/>
            <w:shd w:val="clear" w:color="auto" w:fill="F7F0FB"/>
          </w:tcPr>
          <w:p>
            <w:pPr>
              <w:spacing w:before="60" w:after="60"/>
            </w:pPr>
            <w:r/>
          </w:p>
        </w:tc>
      </w:tr>
    </w:tbl>
    <w:p>
      <w:pPr>
        <w:spacing w:before="160"/>
      </w:pPr>
      <w:r>
        <w:rPr>
          <w:i/>
          <w:color w:val="5A5766"/>
        </w:rPr>
        <w:t>A count of yes answers is not a pass mark. One no on question 2 or 3 is enough to tell rather than discover.</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