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Two-Route Course Plan</w:t>
      </w:r>
    </w:p>
    <w:p>
      <w:r>
        <w:rPr>
          <w:color w:val="5A5766"/>
          <w:sz w:val="22"/>
        </w:rPr>
        <w:t>Plan one piece of content as an andragogical route and a pedagogical route side by side, then decide when a learner moves from one to the other. Adapted by Coursebox from Malcolm Knowles' 1980 comparison of the assumptions of pedagogy and andragogy. This plan gives no score and does not certify a course or a learner. A hypothetical dosing alarm course for an operator of six indoor aquatic and leisure centres is filled in; every fact in it is that operator's own site procedure, not a regulation or chemistry advice.</w:t>
      </w:r>
    </w:p>
    <w:p>
      <w:r>
        <w:rPr>
          <w:i/>
          <w:color w:val="5A5766"/>
          <w:sz w:val="18"/>
        </w:rPr>
        <w:t>From the Coursebox blog: coursebox.ai/blog/pedagogy-vs-andragogy-choose-your-teaching-approach</w:t>
      </w:r>
    </w:p>
    <w:p>
      <w:pPr>
        <w:keepNext/>
        <w:spacing w:before="240" w:after="80"/>
      </w:pPr>
      <w:r>
        <w:rPr>
          <w:b/>
          <w:color w:val="5D008F"/>
          <w:sz w:val="28"/>
        </w:rPr>
        <w:t>How to use this plan</w:t>
      </w:r>
    </w:p>
    <w:p>
      <w:pPr>
        <w:pStyle w:val="ListBullet"/>
      </w:pPr>
      <w:r>
        <w:t>Use it when two or more groups need the same content but sit at different points on Knowles' spectrum: some can steer and bring experience, others are new to it.</w:t>
      </w:r>
    </w:p>
    <w:p>
      <w:pPr>
        <w:pStyle w:val="ListBullet"/>
      </w:pPr>
      <w:r>
        <w:t>Step 1 names the content and the groups. Step 2 lays out the two routes, element by element. Step 3 sets out when a learner moves from one route towards the other.</w:t>
      </w:r>
    </w:p>
    <w:p>
      <w:pPr>
        <w:pStyle w:val="ListBullet"/>
      </w:pPr>
      <w:r>
        <w:t>Decide each group's route from what they already know about this content, what an error would cost and whether they will act alone, not from their age or job title. The free assumptions check helps with that.</w:t>
      </w:r>
    </w:p>
    <w:p>
      <w:pPr>
        <w:pStyle w:val="ListBullet"/>
      </w:pPr>
      <w:r>
        <w:t>Read the filled example first, then use the blank pages at the end for your own course.</w:t>
      </w:r>
    </w:p>
    <w:p>
      <w:pPr>
        <w:keepNext/>
        <w:spacing w:before="240" w:after="80"/>
      </w:pPr>
      <w:r>
        <w:rPr>
          <w:b/>
          <w:color w:val="5D008F"/>
          <w:sz w:val="28"/>
        </w:rPr>
        <w:t>Step 1. The content and the groups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Dosing alarm course</w:t>
            </w:r>
          </w:p>
        </w:tc>
      </w:tr>
      <w:tr>
        <w:trPr>
          <w:cantSplit w:val="true"/>
        </w:trPr>
        <w:tc>
          <w:tcPr>
            <w:tcW w:type="dxa" w:w="3402"/>
          </w:tcPr>
          <w:p>
            <w:pPr>
              <w:spacing w:before="60" w:after="60"/>
            </w:pPr>
            <w:r>
              <w:rPr>
                <w:b/>
              </w:rPr>
              <w:t>What is the content?</w:t>
            </w:r>
          </w:p>
        </w:tc>
        <w:tc>
          <w:tcPr>
            <w:tcW w:type="dxa" w:w="6236"/>
          </w:tcPr>
          <w:p>
            <w:pPr>
              <w:spacing w:before="60" w:after="60"/>
            </w:pPr>
            <w:r>
              <w:t>Responding to a dosing alarm on the new controller, from 14 April, at all six centres</w:t>
            </w:r>
          </w:p>
        </w:tc>
      </w:tr>
      <w:tr>
        <w:trPr>
          <w:cantSplit w:val="true"/>
        </w:trPr>
        <w:tc>
          <w:tcPr>
            <w:tcW w:type="dxa" w:w="3402"/>
            <w:shd w:val="clear" w:color="auto" w:fill="F7F0FB"/>
          </w:tcPr>
          <w:p>
            <w:pPr>
              <w:spacing w:before="60" w:after="60"/>
            </w:pPr>
            <w:r>
              <w:rPr>
                <w:b/>
              </w:rPr>
              <w:t>Group on the andragogical route</w:t>
            </w:r>
          </w:p>
        </w:tc>
        <w:tc>
          <w:tcPr>
            <w:tcW w:type="dxa" w:w="6236"/>
            <w:shd w:val="clear" w:color="auto" w:fill="F7F0FB"/>
          </w:tcPr>
          <w:p>
            <w:pPr>
              <w:spacing w:before="60" w:after="60"/>
            </w:pPr>
            <w:r>
              <w:t>8 senior plant operators: 5 or more years in pool plant rooms, know the chemistry and the old controller, on the after-hours call roster</w:t>
            </w:r>
          </w:p>
        </w:tc>
      </w:tr>
      <w:tr>
        <w:trPr>
          <w:cantSplit w:val="true"/>
        </w:trPr>
        <w:tc>
          <w:tcPr>
            <w:tcW w:type="dxa" w:w="3402"/>
          </w:tcPr>
          <w:p>
            <w:pPr>
              <w:spacing w:before="60" w:after="60"/>
            </w:pPr>
            <w:r>
              <w:rPr>
                <w:b/>
              </w:rPr>
              <w:t>Group on the pedagogical route</w:t>
            </w:r>
          </w:p>
        </w:tc>
        <w:tc>
          <w:tcPr>
            <w:tcW w:type="dxa" w:w="6236"/>
          </w:tcPr>
          <w:p>
            <w:pPr>
              <w:spacing w:before="60" w:after="60"/>
            </w:pPr>
            <w:r>
              <w:t>15 new duty supervisors: mostly former lifeguards, none has worked in a plant room, first responders on evening and weekend shifts with no plant operator on site</w:t>
            </w:r>
          </w:p>
        </w:tc>
      </w:tr>
      <w:tr>
        <w:trPr>
          <w:cantSplit w:val="true"/>
        </w:trPr>
        <w:tc>
          <w:tcPr>
            <w:tcW w:type="dxa" w:w="3402"/>
            <w:shd w:val="clear" w:color="auto" w:fill="F7F0FB"/>
          </w:tcPr>
          <w:p>
            <w:pPr>
              <w:spacing w:before="60" w:after="60"/>
            </w:pPr>
            <w:r>
              <w:rPr>
                <w:b/>
              </w:rPr>
              <w:t>What is new for each group?</w:t>
            </w:r>
          </w:p>
        </w:tc>
        <w:tc>
          <w:tcPr>
            <w:tcW w:type="dxa" w:w="6236"/>
            <w:shd w:val="clear" w:color="auto" w:fill="F7F0FB"/>
          </w:tcPr>
          <w:p>
            <w:pPr>
              <w:spacing w:before="60" w:after="60"/>
            </w:pPr>
            <w:r>
              <w:t>Operators: the screen, the five alarm codes, the automatic dosing lockout and the phone alert. Supervisors: all of it</w:t>
            </w:r>
          </w:p>
        </w:tc>
      </w:tr>
      <w:tr>
        <w:trPr>
          <w:cantSplit w:val="true"/>
        </w:trPr>
        <w:tc>
          <w:tcPr>
            <w:tcW w:type="dxa" w:w="3402"/>
          </w:tcPr>
          <w:p>
            <w:pPr>
              <w:spacing w:before="60" w:after="60"/>
            </w:pPr>
            <w:r>
              <w:rPr>
                <w:b/>
              </w:rPr>
              <w:t>What an error would cost</w:t>
            </w:r>
          </w:p>
        </w:tc>
        <w:tc>
          <w:tcPr>
            <w:tcW w:type="dxa" w:w="6236"/>
          </w:tcPr>
          <w:p>
            <w:pPr>
              <w:spacing w:before="60" w:after="60"/>
            </w:pPr>
            <w:r>
              <w:t>A wrong first action on GAS or CL-HIGH could put swimmers or staff at risk</w:t>
            </w:r>
          </w:p>
        </w:tc>
      </w:tr>
      <w:tr>
        <w:trPr>
          <w:cantSplit w:val="true"/>
        </w:trPr>
        <w:tc>
          <w:tcPr>
            <w:tcW w:type="dxa" w:w="3402"/>
            <w:shd w:val="clear" w:color="auto" w:fill="F7F0FB"/>
          </w:tcPr>
          <w:p>
            <w:pPr>
              <w:spacing w:before="60" w:after="60"/>
            </w:pPr>
            <w:r>
              <w:rPr>
                <w:b/>
              </w:rPr>
              <w:t>Safety boundary</w:t>
            </w:r>
          </w:p>
        </w:tc>
        <w:tc>
          <w:tcPr>
            <w:tcW w:type="dxa" w:w="6236"/>
            <w:shd w:val="clear" w:color="auto" w:fill="F7F0FB"/>
          </w:tcPr>
          <w:p>
            <w:pPr>
              <w:spacing w:before="60" w:after="60"/>
            </w:pPr>
            <w:r>
              <w:t>Duty supervisors never adjust dosing or handle chemical containers; nobody enters the plant room on GAS; nobody mixes chemicals</w:t>
            </w:r>
          </w:p>
        </w:tc>
      </w:tr>
      <w:tr>
        <w:trPr>
          <w:cantSplit w:val="true"/>
        </w:trPr>
        <w:tc>
          <w:tcPr>
            <w:tcW w:type="dxa" w:w="3402"/>
          </w:tcPr>
          <w:p>
            <w:pPr>
              <w:spacing w:before="60" w:after="60"/>
            </w:pPr>
            <w:r>
              <w:rPr>
                <w:b/>
              </w:rPr>
              <w:t>Intended outcome</w:t>
            </w:r>
          </w:p>
        </w:tc>
        <w:tc>
          <w:tcPr>
            <w:tcW w:type="dxa" w:w="6236"/>
          </w:tcPr>
          <w:p>
            <w:pPr>
              <w:spacing w:before="60" w:after="60"/>
            </w:pPr>
            <w:r>
              <w:t>Operators respond to and correct any alarm and can coach a supervisor by phone. Supervisors take the right first action, call the operator and complete the plant log, then are signed off on a supervised shift</w:t>
            </w:r>
          </w:p>
        </w:tc>
      </w:tr>
    </w:tbl>
    <w:p>
      <w:pPr>
        <w:keepNext/>
        <w:pageBreakBefore/>
        <w:spacing w:before="240" w:after="80"/>
      </w:pPr>
      <w:r>
        <w:rPr>
          <w:b/>
          <w:color w:val="5D008F"/>
          <w:sz w:val="28"/>
        </w:rPr>
        <w:t>Step 2. The two routes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spacing w:before="60" w:after="60"/>
            </w:pPr>
            <w:r/>
            <w:r>
              <w:rPr>
                <w:b/>
                <w:color w:val="FFFFFF"/>
              </w:rPr>
              <w:t>Course element</w:t>
            </w:r>
          </w:p>
        </w:tc>
        <w:tc>
          <w:tcPr>
            <w:tcW w:type="dxa" w:w="3798"/>
            <w:shd w:val="clear" w:color="auto" w:fill="5D008F"/>
          </w:tcPr>
          <w:p>
            <w:pPr>
              <w:spacing w:before="60" w:after="60"/>
            </w:pPr>
            <w:r/>
            <w:r>
              <w:rPr>
                <w:b/>
                <w:color w:val="FFFFFF"/>
              </w:rPr>
              <w:t>Plant operators: andragogical route</w:t>
            </w:r>
          </w:p>
        </w:tc>
        <w:tc>
          <w:tcPr>
            <w:tcW w:type="dxa" w:w="3798"/>
            <w:shd w:val="clear" w:color="auto" w:fill="5D008F"/>
          </w:tcPr>
          <w:p>
            <w:pPr>
              <w:spacing w:before="60" w:after="60"/>
            </w:pPr>
            <w:r/>
            <w:r>
              <w:rPr>
                <w:b/>
                <w:color w:val="FFFFFF"/>
              </w:rPr>
              <w:t>Duty supervisors: pedagogical route</w:t>
            </w:r>
          </w:p>
        </w:tc>
      </w:tr>
      <w:tr>
        <w:trPr>
          <w:cantSplit w:val="true"/>
        </w:trPr>
        <w:tc>
          <w:tcPr>
            <w:tcW w:type="dxa" w:w="2041"/>
          </w:tcPr>
          <w:p>
            <w:pPr>
              <w:spacing w:before="60" w:after="60"/>
            </w:pPr>
            <w:r>
              <w:rPr>
                <w:b/>
              </w:rPr>
              <w:t>Opening</w:t>
            </w:r>
          </w:p>
        </w:tc>
        <w:tc>
          <w:tcPr>
            <w:tcW w:type="dxa" w:w="3798"/>
          </w:tcPr>
          <w:p>
            <w:pPr>
              <w:spacing w:before="60" w:after="60"/>
            </w:pPr>
            <w:r>
              <w:t>The Tuesday CL-LOW scenario, before any explanation</w:t>
            </w:r>
          </w:p>
        </w:tc>
        <w:tc>
          <w:tcPr>
            <w:tcW w:type="dxa" w:w="3798"/>
          </w:tcPr>
          <w:p>
            <w:pPr>
              <w:spacing w:before="60" w:after="60"/>
            </w:pPr>
            <w:r>
              <w:t>Their limits, then a guided walk-through of the alarm screen</w:t>
            </w:r>
          </w:p>
        </w:tc>
      </w:tr>
      <w:tr>
        <w:trPr>
          <w:cantSplit w:val="true"/>
        </w:trPr>
        <w:tc>
          <w:tcPr>
            <w:tcW w:type="dxa" w:w="2041"/>
            <w:shd w:val="clear" w:color="auto" w:fill="F7F0FB"/>
          </w:tcPr>
          <w:p>
            <w:pPr>
              <w:spacing w:before="60" w:after="60"/>
            </w:pPr>
            <w:r>
              <w:rPr>
                <w:b/>
              </w:rPr>
              <w:t>Order and choice</w:t>
            </w:r>
          </w:p>
        </w:tc>
        <w:tc>
          <w:tcPr>
            <w:tcW w:type="dxa" w:w="3798"/>
            <w:shd w:val="clear" w:color="auto" w:fill="F7F0FB"/>
          </w:tcPr>
          <w:p>
            <w:pPr>
              <w:spacing w:before="60" w:after="60"/>
            </w:pPr>
            <w:r>
              <w:t>An entry scenario before skim advice; retain critical response checks</w:t>
            </w:r>
          </w:p>
        </w:tc>
        <w:tc>
          <w:tcPr>
            <w:tcW w:type="dxa" w:w="3798"/>
            <w:shd w:val="clear" w:color="auto" w:fill="F7F0FB"/>
          </w:tcPr>
          <w:p>
            <w:pPr>
              <w:spacing w:before="60" w:after="60"/>
            </w:pPr>
            <w:r>
              <w:t>A fixed order; GAS and CL-HIGH content cannot be skipped</w:t>
            </w:r>
          </w:p>
        </w:tc>
      </w:tr>
      <w:tr>
        <w:trPr>
          <w:cantSplit w:val="true"/>
        </w:trPr>
        <w:tc>
          <w:tcPr>
            <w:tcW w:type="dxa" w:w="2041"/>
          </w:tcPr>
          <w:p>
            <w:pPr>
              <w:spacing w:before="60" w:after="60"/>
            </w:pPr>
            <w:r>
              <w:rPr>
                <w:b/>
              </w:rPr>
              <w:t>Use of experience</w:t>
            </w:r>
          </w:p>
        </w:tc>
        <w:tc>
          <w:tcPr>
            <w:tcW w:type="dxa" w:w="3798"/>
          </w:tcPr>
          <w:p>
            <w:pPr>
              <w:spacing w:before="60" w:after="60"/>
            </w:pPr>
            <w:r>
              <w:t>Open text: an alarm handled on the old controller, and what they would do differently now</w:t>
            </w:r>
          </w:p>
        </w:tc>
        <w:tc>
          <w:tcPr>
            <w:tcW w:type="dxa" w:w="3798"/>
          </w:tcPr>
          <w:p>
            <w:pPr>
              <w:spacing w:before="60" w:after="60"/>
            </w:pPr>
            <w:r>
              <w:t>Clearing the pool hall, drawn from lifeguard experience, not plant knowledge</w:t>
            </w:r>
          </w:p>
        </w:tc>
      </w:tr>
      <w:tr>
        <w:trPr>
          <w:cantSplit w:val="true"/>
        </w:trPr>
        <w:tc>
          <w:tcPr>
            <w:tcW w:type="dxa" w:w="2041"/>
            <w:shd w:val="clear" w:color="auto" w:fill="F7F0FB"/>
          </w:tcPr>
          <w:p>
            <w:pPr>
              <w:spacing w:before="60" w:after="60"/>
            </w:pPr>
            <w:r>
              <w:rPr>
                <w:b/>
              </w:rPr>
              <w:t>Worked example</w:t>
            </w:r>
          </w:p>
        </w:tc>
        <w:tc>
          <w:tcPr>
            <w:tcW w:type="dxa" w:w="3798"/>
            <w:shd w:val="clear" w:color="auto" w:fill="F7F0FB"/>
          </w:tcPr>
          <w:p>
            <w:pPr>
              <w:spacing w:before="60" w:after="60"/>
            </w:pPr>
            <w:r>
              <w:t>Optional</w:t>
            </w:r>
          </w:p>
        </w:tc>
        <w:tc>
          <w:tcPr>
            <w:tcW w:type="dxa" w:w="3798"/>
            <w:shd w:val="clear" w:color="auto" w:fill="F7F0FB"/>
          </w:tcPr>
          <w:p>
            <w:pPr>
              <w:spacing w:before="60" w:after="60"/>
            </w:pPr>
            <w:r>
              <w:t>A full CL-HIGH response (screen, first action, the call, the log entry) before any question</w:t>
            </w:r>
          </w:p>
        </w:tc>
      </w:tr>
      <w:tr>
        <w:trPr>
          <w:cantSplit w:val="true"/>
        </w:trPr>
        <w:tc>
          <w:tcPr>
            <w:tcW w:type="dxa" w:w="2041"/>
          </w:tcPr>
          <w:p>
            <w:pPr>
              <w:spacing w:before="60" w:after="60"/>
            </w:pPr>
            <w:r>
              <w:rPr>
                <w:b/>
              </w:rPr>
              <w:t>Practice</w:t>
            </w:r>
          </w:p>
        </w:tc>
        <w:tc>
          <w:tcPr>
            <w:tcW w:type="dxa" w:w="3798"/>
          </w:tcPr>
          <w:p>
            <w:pPr>
              <w:spacing w:before="60" w:after="60"/>
            </w:pPr>
            <w:r>
              <w:t>The three scenarios, with feedback that explains why</w:t>
            </w:r>
          </w:p>
        </w:tc>
        <w:tc>
          <w:tcPr>
            <w:tcW w:type="dxa" w:w="3798"/>
          </w:tcPr>
          <w:p>
            <w:pPr>
              <w:spacing w:before="60" w:after="60"/>
            </w:pPr>
            <w:r>
              <w:t>The three scenarios in rising difficulty, with feedback that explains why</w:t>
            </w:r>
          </w:p>
        </w:tc>
      </w:tr>
      <w:tr>
        <w:trPr>
          <w:cantSplit w:val="true"/>
        </w:trPr>
        <w:tc>
          <w:tcPr>
            <w:tcW w:type="dxa" w:w="2041"/>
            <w:shd w:val="clear" w:color="auto" w:fill="F7F0FB"/>
          </w:tcPr>
          <w:p>
            <w:pPr>
              <w:spacing w:before="60" w:after="60"/>
            </w:pPr>
            <w:r>
              <w:rPr>
                <w:b/>
              </w:rPr>
              <w:t>Checks</w:t>
            </w:r>
          </w:p>
        </w:tc>
        <w:tc>
          <w:tcPr>
            <w:tcW w:type="dxa" w:w="3798"/>
            <w:shd w:val="clear" w:color="auto" w:fill="F7F0FB"/>
          </w:tcPr>
          <w:p>
            <w:pPr>
              <w:spacing w:before="60" w:after="60"/>
            </w:pPr>
            <w:r>
              <w:t>Check new alarm responses and limits; omit recall already demonstrated</w:t>
            </w:r>
          </w:p>
        </w:tc>
        <w:tc>
          <w:tcPr>
            <w:tcW w:type="dxa" w:w="3798"/>
            <w:shd w:val="clear" w:color="auto" w:fill="F7F0FB"/>
          </w:tcPr>
          <w:p>
            <w:pPr>
              <w:spacing w:before="60" w:after="60"/>
            </w:pPr>
            <w:r>
              <w:t>Every critical response correct before the supervised shift</w:t>
            </w:r>
          </w:p>
        </w:tc>
      </w:tr>
      <w:tr>
        <w:trPr>
          <w:cantSplit w:val="true"/>
        </w:trPr>
        <w:tc>
          <w:tcPr>
            <w:tcW w:type="dxa" w:w="2041"/>
          </w:tcPr>
          <w:p>
            <w:pPr>
              <w:spacing w:before="60" w:after="60"/>
            </w:pPr>
            <w:r>
              <w:rPr>
                <w:b/>
              </w:rPr>
              <w:t>After the course</w:t>
            </w:r>
          </w:p>
        </w:tc>
        <w:tc>
          <w:tcPr>
            <w:tcW w:type="dxa" w:w="3798"/>
          </w:tcPr>
          <w:p>
            <w:pPr>
              <w:spacing w:before="60" w:after="60"/>
            </w:pPr>
            <w:r>
              <w:t>Coach a duty supervisor by phone when needed</w:t>
            </w:r>
          </w:p>
        </w:tc>
        <w:tc>
          <w:tcPr>
            <w:tcW w:type="dxa" w:w="3798"/>
          </w:tcPr>
          <w:p>
            <w:pPr>
              <w:spacing w:before="60" w:after="60"/>
            </w:pPr>
            <w:r>
              <w:t>Signed off by a plant operator on a supervised shift before the first solo shift</w:t>
            </w:r>
          </w:p>
        </w:tc>
      </w:tr>
    </w:tbl>
    <w:p>
      <w:pPr>
        <w:spacing w:before="160"/>
      </w:pPr>
      <w:r>
        <w:t>Here the plant operator authorises independent work after a supervised shift. Both routes retain required safety content and critical-response checks; the routes are example design choices, not definitions.</w:t>
      </w:r>
    </w:p>
    <w:p>
      <w:pPr>
        <w:keepNext/>
        <w:spacing w:before="240" w:after="80"/>
      </w:pPr>
      <w:r>
        <w:rPr>
          <w:b/>
          <w:color w:val="5D008F"/>
          <w:sz w:val="28"/>
        </w:rPr>
        <w:t>Step 3. Moving between routes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381"/>
            <w:shd w:val="clear" w:color="auto" w:fill="5D008F"/>
          </w:tcPr>
          <w:p>
            <w:pPr>
              <w:spacing w:before="60" w:after="60"/>
            </w:pPr>
            <w:r/>
            <w:r>
              <w:rPr>
                <w:b/>
                <w:color w:val="FFFFFF"/>
              </w:rPr>
              <w:t>Situation</w:t>
            </w:r>
          </w:p>
        </w:tc>
        <w:tc>
          <w:tcPr>
            <w:tcW w:type="dxa" w:w="2608"/>
            <w:shd w:val="clear" w:color="auto" w:fill="5D008F"/>
          </w:tcPr>
          <w:p>
            <w:pPr>
              <w:spacing w:before="60" w:after="60"/>
            </w:pPr>
            <w:r/>
            <w:r>
              <w:rPr>
                <w:b/>
                <w:color w:val="FFFFFF"/>
              </w:rPr>
              <w:t>Evidence that moves the learner</w:t>
            </w:r>
          </w:p>
        </w:tc>
        <w:tc>
          <w:tcPr>
            <w:tcW w:type="dxa" w:w="1814"/>
            <w:shd w:val="clear" w:color="auto" w:fill="5D008F"/>
          </w:tcPr>
          <w:p>
            <w:pPr>
              <w:spacing w:before="60" w:after="60"/>
            </w:pPr>
            <w:r/>
            <w:r>
              <w:rPr>
                <w:b/>
                <w:color w:val="FFFFFF"/>
              </w:rPr>
              <w:t>Who decides</w:t>
            </w:r>
          </w:p>
        </w:tc>
        <w:tc>
          <w:tcPr>
            <w:tcW w:type="dxa" w:w="2835"/>
            <w:shd w:val="clear" w:color="auto" w:fill="5D008F"/>
          </w:tcPr>
          <w:p>
            <w:pPr>
              <w:spacing w:before="60" w:after="60"/>
            </w:pPr>
            <w:r/>
            <w:r>
              <w:rPr>
                <w:b/>
                <w:color w:val="FFFFFF"/>
              </w:rPr>
              <w:t>What changes</w:t>
            </w:r>
          </w:p>
        </w:tc>
      </w:tr>
      <w:tr>
        <w:trPr>
          <w:cantSplit w:val="true"/>
        </w:trPr>
        <w:tc>
          <w:tcPr>
            <w:tcW w:type="dxa" w:w="2381"/>
          </w:tcPr>
          <w:p>
            <w:pPr>
              <w:spacing w:before="60" w:after="60"/>
            </w:pPr>
            <w:r>
              <w:rPr>
                <w:b/>
              </w:rPr>
              <w:t>Supervisor after several real alarms</w:t>
            </w:r>
          </w:p>
        </w:tc>
        <w:tc>
          <w:tcPr>
            <w:tcW w:type="dxa" w:w="2608"/>
          </w:tcPr>
          <w:p>
            <w:pPr>
              <w:spacing w:before="60" w:after="60"/>
            </w:pPr>
            <w:r>
              <w:t>Fresh scenario and supervised work show correct first action, limits and logging</w:t>
            </w:r>
          </w:p>
        </w:tc>
        <w:tc>
          <w:tcPr>
            <w:tcW w:type="dxa" w:w="1814"/>
          </w:tcPr>
          <w:p>
            <w:pPr>
              <w:spacing w:before="60" w:after="60"/>
            </w:pPr>
            <w:r>
              <w:t>The plant operator who reviews the log</w:t>
            </w:r>
          </w:p>
        </w:tc>
        <w:tc>
          <w:tcPr>
            <w:tcW w:type="dxa" w:w="2835"/>
          </w:tcPr>
          <w:p>
            <w:pPr>
              <w:spacing w:before="60" w:after="60"/>
            </w:pPr>
            <w:r>
              <w:t>Refresher lets them skim CL-LOW and PH content; GAS and CL-HIGH stay fixed</w:t>
            </w:r>
          </w:p>
        </w:tc>
      </w:tr>
      <w:tr>
        <w:trPr>
          <w:cantSplit w:val="true"/>
        </w:trPr>
        <w:tc>
          <w:tcPr>
            <w:tcW w:type="dxa" w:w="2381"/>
            <w:shd w:val="clear" w:color="auto" w:fill="F7F0FB"/>
          </w:tcPr>
          <w:p>
            <w:pPr>
              <w:spacing w:before="60" w:after="60"/>
            </w:pPr>
            <w:r>
              <w:rPr>
                <w:b/>
              </w:rPr>
              <w:t>Operator meets something new</w:t>
            </w:r>
          </w:p>
        </w:tc>
        <w:tc>
          <w:tcPr>
            <w:tcW w:type="dxa" w:w="2608"/>
            <w:shd w:val="clear" w:color="auto" w:fill="F7F0FB"/>
          </w:tcPr>
          <w:p>
            <w:pPr>
              <w:spacing w:before="60" w:after="60"/>
            </w:pPr>
            <w:r>
              <w:t>A FLOW lockout they have not seen on the new controller</w:t>
            </w:r>
          </w:p>
        </w:tc>
        <w:tc>
          <w:tcPr>
            <w:tcW w:type="dxa" w:w="1814"/>
            <w:shd w:val="clear" w:color="auto" w:fill="F7F0FB"/>
          </w:tcPr>
          <w:p>
            <w:pPr>
              <w:spacing w:before="60" w:after="60"/>
            </w:pPr>
            <w:r>
              <w:t>The operator</w:t>
            </w:r>
          </w:p>
        </w:tc>
        <w:tc>
          <w:tcPr>
            <w:tcW w:type="dxa" w:w="2835"/>
            <w:shd w:val="clear" w:color="auto" w:fill="F7F0FB"/>
          </w:tcPr>
          <w:p>
            <w:pPr>
              <w:spacing w:before="60" w:after="60"/>
            </w:pPr>
            <w:r>
              <w:t>Takes the guided walk-through for that one part</w:t>
            </w:r>
          </w:p>
        </w:tc>
      </w:tr>
      <w:tr>
        <w:trPr>
          <w:cantSplit w:val="true"/>
        </w:trPr>
        <w:tc>
          <w:tcPr>
            <w:tcW w:type="dxa" w:w="2381"/>
          </w:tcPr>
          <w:p>
            <w:pPr>
              <w:spacing w:before="60" w:after="60"/>
            </w:pPr>
            <w:r>
              <w:rPr>
                <w:b/>
              </w:rPr>
              <w:t>Supervisor not yet ready</w:t>
            </w:r>
          </w:p>
        </w:tc>
        <w:tc>
          <w:tcPr>
            <w:tcW w:type="dxa" w:w="2608"/>
          </w:tcPr>
          <w:p>
            <w:pPr>
              <w:spacing w:before="60" w:after="60"/>
            </w:pPr>
            <w:r>
              <w:t>Fails the final check, or the supervised shift shows a wrong first action</w:t>
            </w:r>
          </w:p>
        </w:tc>
        <w:tc>
          <w:tcPr>
            <w:tcW w:type="dxa" w:w="1814"/>
          </w:tcPr>
          <w:p>
            <w:pPr>
              <w:spacing w:before="60" w:after="60"/>
            </w:pPr>
            <w:r>
              <w:t>The plant operator on the shift</w:t>
            </w:r>
          </w:p>
        </w:tc>
        <w:tc>
          <w:tcPr>
            <w:tcW w:type="dxa" w:w="2835"/>
          </w:tcPr>
          <w:p>
            <w:pPr>
              <w:spacing w:before="60" w:after="60"/>
            </w:pPr>
            <w:r>
              <w:t>Repeats the worked example and scenarios before another supervised shift</w:t>
            </w:r>
          </w:p>
        </w:tc>
      </w:tr>
    </w:tbl>
    <w:p>
      <w:pPr>
        <w:spacing w:before="160"/>
      </w:pPr>
      <w:r>
        <w:rPr>
          <w:i/>
          <w:color w:val="5A5766"/>
        </w:rPr>
        <w:t>Knowles: pedagogical strategies fit whenever the pedagogical assumption is the realistic one, regardless of the learner's age, and the reverse also holds. He warned against keeping a learner dependent after they can direct their own learning.</w:t>
      </w:r>
    </w:p>
    <w:p>
      <w:pPr>
        <w:keepNext/>
        <w:pageBreakBefore/>
        <w:spacing w:before="240" w:after="80"/>
      </w:pPr>
      <w:r>
        <w:rPr>
          <w:b/>
          <w:color w:val="5D008F"/>
          <w:sz w:val="28"/>
        </w:rPr>
        <w:t>Your course: Step 1</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Your answer</w:t>
            </w:r>
          </w:p>
        </w:tc>
      </w:tr>
      <w:tr>
        <w:trPr>
          <w:cantSplit w:val="true"/>
          <w:trHeight w:val="1417"/>
        </w:trPr>
        <w:tc>
          <w:tcPr>
            <w:tcW w:type="dxa" w:w="3402"/>
          </w:tcPr>
          <w:p>
            <w:pPr>
              <w:spacing w:before="60" w:after="60"/>
            </w:pPr>
            <w:r>
              <w:rPr>
                <w:b/>
              </w:rPr>
              <w:t>What is the content?</w:t>
            </w:r>
          </w:p>
        </w:tc>
        <w:tc>
          <w:tcPr>
            <w:tcW w:type="dxa" w:w="6236"/>
          </w:tcPr>
          <w:p>
            <w:pPr>
              <w:spacing w:before="60" w:after="60"/>
            </w:pPr>
            <w:r/>
          </w:p>
        </w:tc>
      </w:tr>
      <w:tr>
        <w:trPr>
          <w:cantSplit w:val="true"/>
          <w:trHeight w:val="1417"/>
        </w:trPr>
        <w:tc>
          <w:tcPr>
            <w:tcW w:type="dxa" w:w="3402"/>
            <w:shd w:val="clear" w:color="auto" w:fill="F7F0FB"/>
          </w:tcPr>
          <w:p>
            <w:pPr>
              <w:spacing w:before="60" w:after="60"/>
            </w:pPr>
            <w:r>
              <w:rPr>
                <w:b/>
              </w:rPr>
              <w:t>Group on the andragogical route, and why</w:t>
            </w:r>
          </w:p>
        </w:tc>
        <w:tc>
          <w:tcPr>
            <w:tcW w:type="dxa" w:w="6236"/>
            <w:shd w:val="clear" w:color="auto" w:fill="F7F0FB"/>
          </w:tcPr>
          <w:p>
            <w:pPr>
              <w:spacing w:before="60" w:after="60"/>
            </w:pPr>
            <w:r/>
          </w:p>
        </w:tc>
      </w:tr>
      <w:tr>
        <w:trPr>
          <w:cantSplit w:val="true"/>
          <w:trHeight w:val="1417"/>
        </w:trPr>
        <w:tc>
          <w:tcPr>
            <w:tcW w:type="dxa" w:w="3402"/>
          </w:tcPr>
          <w:p>
            <w:pPr>
              <w:spacing w:before="60" w:after="60"/>
            </w:pPr>
            <w:r>
              <w:rPr>
                <w:b/>
              </w:rPr>
              <w:t>Group on the pedagogical route, and why</w:t>
            </w:r>
          </w:p>
        </w:tc>
        <w:tc>
          <w:tcPr>
            <w:tcW w:type="dxa" w:w="6236"/>
          </w:tcPr>
          <w:p>
            <w:pPr>
              <w:spacing w:before="60" w:after="60"/>
            </w:pPr>
            <w:r/>
          </w:p>
        </w:tc>
      </w:tr>
      <w:tr>
        <w:trPr>
          <w:cantSplit w:val="true"/>
          <w:trHeight w:val="1417"/>
        </w:trPr>
        <w:tc>
          <w:tcPr>
            <w:tcW w:type="dxa" w:w="3402"/>
            <w:shd w:val="clear" w:color="auto" w:fill="F7F0FB"/>
          </w:tcPr>
          <w:p>
            <w:pPr>
              <w:spacing w:before="60" w:after="60"/>
            </w:pPr>
            <w:r>
              <w:rPr>
                <w:b/>
              </w:rPr>
              <w:t>What is new for each group?</w:t>
            </w:r>
          </w:p>
        </w:tc>
        <w:tc>
          <w:tcPr>
            <w:tcW w:type="dxa" w:w="6236"/>
            <w:shd w:val="clear" w:color="auto" w:fill="F7F0FB"/>
          </w:tcPr>
          <w:p>
            <w:pPr>
              <w:spacing w:before="60" w:after="60"/>
            </w:pPr>
            <w:r/>
          </w:p>
        </w:tc>
      </w:tr>
      <w:tr>
        <w:trPr>
          <w:cantSplit w:val="true"/>
          <w:trHeight w:val="1417"/>
        </w:trPr>
        <w:tc>
          <w:tcPr>
            <w:tcW w:type="dxa" w:w="3402"/>
          </w:tcPr>
          <w:p>
            <w:pPr>
              <w:spacing w:before="60" w:after="60"/>
            </w:pPr>
            <w:r>
              <w:rPr>
                <w:b/>
              </w:rPr>
              <w:t>What an error would cost</w:t>
            </w:r>
          </w:p>
        </w:tc>
        <w:tc>
          <w:tcPr>
            <w:tcW w:type="dxa" w:w="6236"/>
          </w:tcPr>
          <w:p>
            <w:pPr>
              <w:spacing w:before="60" w:after="60"/>
            </w:pPr>
            <w:r/>
          </w:p>
        </w:tc>
      </w:tr>
      <w:tr>
        <w:trPr>
          <w:cantSplit w:val="true"/>
          <w:trHeight w:val="1417"/>
        </w:trPr>
        <w:tc>
          <w:tcPr>
            <w:tcW w:type="dxa" w:w="3402"/>
            <w:shd w:val="clear" w:color="auto" w:fill="F7F0FB"/>
          </w:tcPr>
          <w:p>
            <w:pPr>
              <w:spacing w:before="60" w:after="60"/>
            </w:pPr>
            <w:r>
              <w:rPr>
                <w:b/>
              </w:rPr>
              <w:t>Safety boundary or fixed standard</w:t>
            </w:r>
          </w:p>
        </w:tc>
        <w:tc>
          <w:tcPr>
            <w:tcW w:type="dxa" w:w="6236"/>
            <w:shd w:val="clear" w:color="auto" w:fill="F7F0FB"/>
          </w:tcPr>
          <w:p>
            <w:pPr>
              <w:spacing w:before="60" w:after="60"/>
            </w:pPr>
            <w:r/>
          </w:p>
        </w:tc>
      </w:tr>
      <w:tr>
        <w:trPr>
          <w:cantSplit w:val="true"/>
          <w:trHeight w:val="1417"/>
        </w:trPr>
        <w:tc>
          <w:tcPr>
            <w:tcW w:type="dxa" w:w="3402"/>
          </w:tcPr>
          <w:p>
            <w:pPr>
              <w:spacing w:before="60" w:after="60"/>
            </w:pPr>
            <w:r>
              <w:rPr>
                <w:b/>
              </w:rPr>
              <w:t>Intended outcome, and who checks it</w:t>
            </w:r>
          </w:p>
        </w:tc>
        <w:tc>
          <w:tcPr>
            <w:tcW w:type="dxa" w:w="6236"/>
          </w:tcPr>
          <w:p>
            <w:pPr>
              <w:spacing w:before="60" w:after="60"/>
            </w:pPr>
            <w:r/>
          </w:p>
        </w:tc>
      </w:tr>
    </w:tbl>
    <w:p>
      <w:pPr>
        <w:keepNext/>
        <w:pageBreakBefore/>
        <w:spacing w:before="240" w:after="80"/>
      </w:pPr>
      <w:r>
        <w:rPr>
          <w:b/>
          <w:color w:val="5D008F"/>
          <w:sz w:val="28"/>
        </w:rPr>
        <w:t>Your course: Step 2</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spacing w:before="60" w:after="60"/>
            </w:pPr>
            <w:r/>
            <w:r>
              <w:rPr>
                <w:b/>
                <w:color w:val="FFFFFF"/>
              </w:rPr>
              <w:t>Course element</w:t>
            </w:r>
          </w:p>
        </w:tc>
        <w:tc>
          <w:tcPr>
            <w:tcW w:type="dxa" w:w="3798"/>
            <w:shd w:val="clear" w:color="auto" w:fill="5D008F"/>
          </w:tcPr>
          <w:p>
            <w:pPr>
              <w:spacing w:before="60" w:after="60"/>
            </w:pPr>
            <w:r/>
            <w:r>
              <w:rPr>
                <w:b/>
                <w:color w:val="FFFFFF"/>
              </w:rPr>
              <w:t>Andragogical route</w:t>
            </w:r>
          </w:p>
        </w:tc>
        <w:tc>
          <w:tcPr>
            <w:tcW w:type="dxa" w:w="3798"/>
            <w:shd w:val="clear" w:color="auto" w:fill="5D008F"/>
          </w:tcPr>
          <w:p>
            <w:pPr>
              <w:spacing w:before="60" w:after="60"/>
            </w:pPr>
            <w:r/>
            <w:r>
              <w:rPr>
                <w:b/>
                <w:color w:val="FFFFFF"/>
              </w:rPr>
              <w:t>Pedagogical route</w:t>
            </w:r>
          </w:p>
        </w:tc>
      </w:tr>
      <w:tr>
        <w:trPr>
          <w:cantSplit w:val="true"/>
          <w:trHeight w:val="1644"/>
        </w:trPr>
        <w:tc>
          <w:tcPr>
            <w:tcW w:type="dxa" w:w="2041"/>
          </w:tcPr>
          <w:p>
            <w:pPr>
              <w:spacing w:before="60" w:after="60"/>
            </w:pPr>
            <w:r>
              <w:rPr>
                <w:b/>
              </w:rPr>
              <w:t>Opening</w:t>
            </w:r>
          </w:p>
        </w:tc>
        <w:tc>
          <w:tcPr>
            <w:tcW w:type="dxa" w:w="3798"/>
          </w:tcPr>
          <w:p>
            <w:pPr>
              <w:spacing w:before="60" w:after="60"/>
            </w:pPr>
            <w:r/>
          </w:p>
        </w:tc>
        <w:tc>
          <w:tcPr>
            <w:tcW w:type="dxa" w:w="3798"/>
          </w:tcPr>
          <w:p>
            <w:pPr>
              <w:spacing w:before="60" w:after="60"/>
            </w:pPr>
            <w:r/>
          </w:p>
        </w:tc>
      </w:tr>
      <w:tr>
        <w:trPr>
          <w:cantSplit w:val="true"/>
          <w:trHeight w:val="1644"/>
        </w:trPr>
        <w:tc>
          <w:tcPr>
            <w:tcW w:type="dxa" w:w="2041"/>
            <w:shd w:val="clear" w:color="auto" w:fill="F7F0FB"/>
          </w:tcPr>
          <w:p>
            <w:pPr>
              <w:spacing w:before="60" w:after="60"/>
            </w:pPr>
            <w:r>
              <w:rPr>
                <w:b/>
              </w:rPr>
              <w:t>Order and choice</w:t>
            </w:r>
          </w:p>
        </w:tc>
        <w:tc>
          <w:tcPr>
            <w:tcW w:type="dxa" w:w="3798"/>
            <w:shd w:val="clear" w:color="auto" w:fill="F7F0FB"/>
          </w:tcPr>
          <w:p>
            <w:pPr>
              <w:spacing w:before="60" w:after="60"/>
            </w:pPr>
            <w:r/>
          </w:p>
        </w:tc>
        <w:tc>
          <w:tcPr>
            <w:tcW w:type="dxa" w:w="3798"/>
            <w:shd w:val="clear" w:color="auto" w:fill="F7F0FB"/>
          </w:tcPr>
          <w:p>
            <w:pPr>
              <w:spacing w:before="60" w:after="60"/>
            </w:pPr>
            <w:r/>
          </w:p>
        </w:tc>
      </w:tr>
      <w:tr>
        <w:trPr>
          <w:cantSplit w:val="true"/>
          <w:trHeight w:val="1644"/>
        </w:trPr>
        <w:tc>
          <w:tcPr>
            <w:tcW w:type="dxa" w:w="2041"/>
          </w:tcPr>
          <w:p>
            <w:pPr>
              <w:spacing w:before="60" w:after="60"/>
            </w:pPr>
            <w:r>
              <w:rPr>
                <w:b/>
              </w:rPr>
              <w:t>Use of experience</w:t>
            </w:r>
          </w:p>
        </w:tc>
        <w:tc>
          <w:tcPr>
            <w:tcW w:type="dxa" w:w="3798"/>
          </w:tcPr>
          <w:p>
            <w:pPr>
              <w:spacing w:before="60" w:after="60"/>
            </w:pPr>
            <w:r/>
          </w:p>
        </w:tc>
        <w:tc>
          <w:tcPr>
            <w:tcW w:type="dxa" w:w="3798"/>
          </w:tcPr>
          <w:p>
            <w:pPr>
              <w:spacing w:before="60" w:after="60"/>
            </w:pPr>
            <w:r/>
          </w:p>
        </w:tc>
      </w:tr>
      <w:tr>
        <w:trPr>
          <w:cantSplit w:val="true"/>
          <w:trHeight w:val="1644"/>
        </w:trPr>
        <w:tc>
          <w:tcPr>
            <w:tcW w:type="dxa" w:w="2041"/>
            <w:shd w:val="clear" w:color="auto" w:fill="F7F0FB"/>
          </w:tcPr>
          <w:p>
            <w:pPr>
              <w:spacing w:before="60" w:after="60"/>
            </w:pPr>
            <w:r>
              <w:rPr>
                <w:b/>
              </w:rPr>
              <w:t>Worked example</w:t>
            </w:r>
          </w:p>
        </w:tc>
        <w:tc>
          <w:tcPr>
            <w:tcW w:type="dxa" w:w="3798"/>
            <w:shd w:val="clear" w:color="auto" w:fill="F7F0FB"/>
          </w:tcPr>
          <w:p>
            <w:pPr>
              <w:spacing w:before="60" w:after="60"/>
            </w:pPr>
            <w:r/>
          </w:p>
        </w:tc>
        <w:tc>
          <w:tcPr>
            <w:tcW w:type="dxa" w:w="3798"/>
            <w:shd w:val="clear" w:color="auto" w:fill="F7F0FB"/>
          </w:tcPr>
          <w:p>
            <w:pPr>
              <w:spacing w:before="60" w:after="60"/>
            </w:pPr>
            <w:r/>
          </w:p>
        </w:tc>
      </w:tr>
      <w:tr>
        <w:trPr>
          <w:cantSplit w:val="true"/>
          <w:trHeight w:val="1644"/>
        </w:trPr>
        <w:tc>
          <w:tcPr>
            <w:tcW w:type="dxa" w:w="2041"/>
          </w:tcPr>
          <w:p>
            <w:pPr>
              <w:spacing w:before="60" w:after="60"/>
            </w:pPr>
            <w:r>
              <w:rPr>
                <w:b/>
              </w:rPr>
              <w:t>Practice</w:t>
            </w:r>
          </w:p>
        </w:tc>
        <w:tc>
          <w:tcPr>
            <w:tcW w:type="dxa" w:w="3798"/>
          </w:tcPr>
          <w:p>
            <w:pPr>
              <w:spacing w:before="60" w:after="60"/>
            </w:pPr>
            <w:r/>
          </w:p>
        </w:tc>
        <w:tc>
          <w:tcPr>
            <w:tcW w:type="dxa" w:w="3798"/>
          </w:tcPr>
          <w:p>
            <w:pPr>
              <w:spacing w:before="60" w:after="60"/>
            </w:pPr>
            <w:r/>
          </w:p>
        </w:tc>
      </w:tr>
      <w:tr>
        <w:trPr>
          <w:cantSplit w:val="true"/>
          <w:trHeight w:val="1644"/>
        </w:trPr>
        <w:tc>
          <w:tcPr>
            <w:tcW w:type="dxa" w:w="2041"/>
            <w:shd w:val="clear" w:color="auto" w:fill="F7F0FB"/>
          </w:tcPr>
          <w:p>
            <w:pPr>
              <w:spacing w:before="60" w:after="60"/>
            </w:pPr>
            <w:r>
              <w:rPr>
                <w:b/>
              </w:rPr>
              <w:t>Checks</w:t>
            </w:r>
          </w:p>
        </w:tc>
        <w:tc>
          <w:tcPr>
            <w:tcW w:type="dxa" w:w="3798"/>
            <w:shd w:val="clear" w:color="auto" w:fill="F7F0FB"/>
          </w:tcPr>
          <w:p>
            <w:pPr>
              <w:spacing w:before="60" w:after="60"/>
            </w:pPr>
            <w:r/>
          </w:p>
        </w:tc>
        <w:tc>
          <w:tcPr>
            <w:tcW w:type="dxa" w:w="3798"/>
            <w:shd w:val="clear" w:color="auto" w:fill="F7F0FB"/>
          </w:tcPr>
          <w:p>
            <w:pPr>
              <w:spacing w:before="60" w:after="60"/>
            </w:pPr>
            <w:r/>
          </w:p>
        </w:tc>
      </w:tr>
      <w:tr>
        <w:trPr>
          <w:cantSplit w:val="true"/>
          <w:trHeight w:val="1644"/>
        </w:trPr>
        <w:tc>
          <w:tcPr>
            <w:tcW w:type="dxa" w:w="2041"/>
          </w:tcPr>
          <w:p>
            <w:pPr>
              <w:spacing w:before="60" w:after="60"/>
            </w:pPr>
            <w:r>
              <w:rPr>
                <w:b/>
              </w:rPr>
              <w:t>After the course</w:t>
            </w:r>
          </w:p>
        </w:tc>
        <w:tc>
          <w:tcPr>
            <w:tcW w:type="dxa" w:w="3798"/>
          </w:tcPr>
          <w:p>
            <w:pPr>
              <w:spacing w:before="60" w:after="60"/>
            </w:pPr>
            <w:r/>
          </w:p>
        </w:tc>
        <w:tc>
          <w:tcPr>
            <w:tcW w:type="dxa" w:w="3798"/>
          </w:tcPr>
          <w:p>
            <w:pPr>
              <w:spacing w:before="60" w:after="60"/>
            </w:pPr>
            <w:r/>
          </w:p>
        </w:tc>
      </w:tr>
    </w:tbl>
    <w:p>
      <w:pPr>
        <w:keepNext/>
        <w:pageBreakBefore/>
        <w:spacing w:before="240" w:after="80"/>
      </w:pPr>
      <w:r>
        <w:rPr>
          <w:b/>
          <w:color w:val="5D008F"/>
          <w:sz w:val="28"/>
        </w:rPr>
        <w:t>Your course: Step 3</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381"/>
            <w:shd w:val="clear" w:color="auto" w:fill="5D008F"/>
          </w:tcPr>
          <w:p>
            <w:pPr>
              <w:spacing w:before="60" w:after="60"/>
            </w:pPr>
            <w:r/>
            <w:r>
              <w:rPr>
                <w:b/>
                <w:color w:val="FFFFFF"/>
              </w:rPr>
              <w:t>Situation</w:t>
            </w:r>
          </w:p>
        </w:tc>
        <w:tc>
          <w:tcPr>
            <w:tcW w:type="dxa" w:w="2608"/>
            <w:shd w:val="clear" w:color="auto" w:fill="5D008F"/>
          </w:tcPr>
          <w:p>
            <w:pPr>
              <w:spacing w:before="60" w:after="60"/>
            </w:pPr>
            <w:r/>
            <w:r>
              <w:rPr>
                <w:b/>
                <w:color w:val="FFFFFF"/>
              </w:rPr>
              <w:t>Evidence that moves the learner</w:t>
            </w:r>
          </w:p>
        </w:tc>
        <w:tc>
          <w:tcPr>
            <w:tcW w:type="dxa" w:w="1814"/>
            <w:shd w:val="clear" w:color="auto" w:fill="5D008F"/>
          </w:tcPr>
          <w:p>
            <w:pPr>
              <w:spacing w:before="60" w:after="60"/>
            </w:pPr>
            <w:r/>
            <w:r>
              <w:rPr>
                <w:b/>
                <w:color w:val="FFFFFF"/>
              </w:rPr>
              <w:t>Who decides</w:t>
            </w:r>
          </w:p>
        </w:tc>
        <w:tc>
          <w:tcPr>
            <w:tcW w:type="dxa" w:w="2835"/>
            <w:shd w:val="clear" w:color="auto" w:fill="5D008F"/>
          </w:tcPr>
          <w:p>
            <w:pPr>
              <w:spacing w:before="60" w:after="60"/>
            </w:pPr>
            <w:r/>
            <w:r>
              <w:rPr>
                <w:b/>
                <w:color w:val="FFFFFF"/>
              </w:rPr>
              <w:t>What changes</w:t>
            </w:r>
          </w:p>
        </w:tc>
      </w:tr>
      <w:tr>
        <w:trPr>
          <w:cantSplit w:val="true"/>
          <w:trHeight w:val="2381"/>
        </w:trPr>
        <w:tc>
          <w:tcPr>
            <w:tcW w:type="dxa" w:w="2381"/>
          </w:tcPr>
          <w:p>
            <w:pPr>
              <w:spacing w:before="60" w:after="60"/>
            </w:pPr>
            <w:r>
              <w:rPr>
                <w:b/>
              </w:rPr>
            </w:r>
          </w:p>
        </w:tc>
        <w:tc>
          <w:tcPr>
            <w:tcW w:type="dxa" w:w="2608"/>
          </w:tcPr>
          <w:p>
            <w:pPr>
              <w:spacing w:before="60" w:after="60"/>
            </w:pPr>
            <w:r/>
          </w:p>
        </w:tc>
        <w:tc>
          <w:tcPr>
            <w:tcW w:type="dxa" w:w="1814"/>
          </w:tcPr>
          <w:p>
            <w:pPr>
              <w:spacing w:before="60" w:after="60"/>
            </w:pPr>
            <w:r/>
          </w:p>
        </w:tc>
        <w:tc>
          <w:tcPr>
            <w:tcW w:type="dxa" w:w="2835"/>
          </w:tcPr>
          <w:p>
            <w:pPr>
              <w:spacing w:before="60" w:after="60"/>
            </w:pPr>
            <w:r/>
          </w:p>
        </w:tc>
      </w:tr>
      <w:tr>
        <w:trPr>
          <w:cantSplit w:val="true"/>
          <w:trHeight w:val="2381"/>
        </w:trPr>
        <w:tc>
          <w:tcPr>
            <w:tcW w:type="dxa" w:w="2381"/>
            <w:shd w:val="clear" w:color="auto" w:fill="F7F0FB"/>
          </w:tcPr>
          <w:p>
            <w:pPr>
              <w:spacing w:before="60" w:after="60"/>
            </w:pPr>
            <w:r>
              <w:rPr>
                <w:b/>
              </w:rPr>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835"/>
            <w:shd w:val="clear" w:color="auto" w:fill="F7F0FB"/>
          </w:tcPr>
          <w:p>
            <w:pPr>
              <w:spacing w:before="60" w:after="60"/>
            </w:pPr>
            <w:r/>
          </w:p>
        </w:tc>
      </w:tr>
      <w:tr>
        <w:trPr>
          <w:cantSplit w:val="true"/>
          <w:trHeight w:val="2381"/>
        </w:trPr>
        <w:tc>
          <w:tcPr>
            <w:tcW w:type="dxa" w:w="2381"/>
          </w:tcPr>
          <w:p>
            <w:pPr>
              <w:spacing w:before="60" w:after="60"/>
            </w:pPr>
            <w:r>
              <w:rPr>
                <w:b/>
              </w:rPr>
            </w:r>
          </w:p>
        </w:tc>
        <w:tc>
          <w:tcPr>
            <w:tcW w:type="dxa" w:w="2608"/>
          </w:tcPr>
          <w:p>
            <w:pPr>
              <w:spacing w:before="60" w:after="60"/>
            </w:pPr>
            <w:r/>
          </w:p>
        </w:tc>
        <w:tc>
          <w:tcPr>
            <w:tcW w:type="dxa" w:w="1814"/>
          </w:tcPr>
          <w:p>
            <w:pPr>
              <w:spacing w:before="60" w:after="60"/>
            </w:pPr>
            <w:r/>
          </w:p>
        </w:tc>
        <w:tc>
          <w:tcPr>
            <w:tcW w:type="dxa" w:w="2835"/>
          </w:tcPr>
          <w:p>
            <w:pPr>
              <w:spacing w:before="60" w:after="60"/>
            </w:pPr>
            <w:r/>
          </w:p>
        </w:tc>
      </w:tr>
    </w:tbl>
    <w:p>
      <w:pPr>
        <w:spacing w:before="160"/>
      </w:pPr>
      <w:r>
        <w:rPr>
          <w:i/>
          <w:color w:val="5A5766"/>
        </w:rPr>
        <w:t>Drawing on Knowles (1980) The Modern Practice of Adult Education: From Pedagogy to Andragogy, chapter 4. The steps, routes and example are Coursebox's own adaptation. This plan gives no score and does not certify a course or a learner.</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