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color w:val="5D008F"/>
          <w:sz w:val="40"/>
        </w:rPr>
        <w:t>Action Map Planner</w:t>
      </w:r>
    </w:p>
    <w:p>
      <w:r>
        <w:rPr>
          <w:color w:val="5A5766"/>
          <w:sz w:val="22"/>
        </w:rPr>
        <w:t>For turning one training request into an action map before anyone builds a course: the business goal, the on-the-job actions, why people aren't doing each one, the practice and minimum information for the actions that need training, and how you will check the goal. A Coursebox adaptation of Cathy Moore's action mapping, not her own worksheet; it gives no score. The filled example is a hypothetical solar and battery installer's customer handover, with illustrative figures.</w:t>
      </w:r>
    </w:p>
    <w:p>
      <w:r>
        <w:rPr>
          <w:i/>
          <w:color w:val="5A5766"/>
          <w:sz w:val="18"/>
        </w:rPr>
        <w:t>From the Coursebox blog: coursebox.ai/blog/action-mapping</w:t>
      </w:r>
    </w:p>
    <w:p>
      <w:pPr>
        <w:keepNext/>
        <w:spacing w:before="240" w:after="80"/>
      </w:pPr>
      <w:r>
        <w:rPr>
          <w:b/>
          <w:color w:val="5D008F"/>
          <w:sz w:val="28"/>
        </w:rPr>
        <w:t>How to use this planner</w:t>
      </w:r>
    </w:p>
    <w:p>
      <w:pPr>
        <w:pStyle w:val="ListBullet"/>
      </w:pPr>
      <w:r>
        <w:t>Fill it in with the client and a job expert, not alone (in the example: the operations manager, two installation leads and the support team). Moore's estimate is that one two-hour meeting can often cover the goal and the actions.</w:t>
      </w:r>
    </w:p>
    <w:p>
      <w:pPr>
        <w:pStyle w:val="ListBullet"/>
      </w:pPr>
      <w:r>
        <w:t>Write the goal first, using a measure the organisation already collects. Completion of the training is not a business goal.</w:t>
      </w:r>
    </w:p>
    <w:p>
      <w:pPr>
        <w:pStyle w:val="ListBullet"/>
      </w:pPr>
      <w:r>
        <w:t>List actions a manager could watch someone do and tick off. Avoid verbs that only happen on a test, such as define or identify.</w:t>
      </w:r>
    </w:p>
    <w:p>
      <w:pPr>
        <w:pStyle w:val="ListBullet"/>
      </w:pPr>
      <w:r>
        <w:t>Run each important action through the four questions in Part 2, environment first. Write the fix that matches the cause, even when it is not training.</w:t>
      </w:r>
    </w:p>
    <w:p>
      <w:pPr>
        <w:pStyle w:val="ListBullet"/>
      </w:pPr>
      <w:r>
        <w:t>Plan practice only for the actions marked for training, and add only the information that practice needs. Decide whether each piece of information belongs in memory or in a job aid.</w:t>
      </w:r>
    </w:p>
    <w:p>
      <w:pPr>
        <w:pStyle w:val="ListBullet"/>
      </w:pPr>
      <w:r>
        <w:t>Keep the non-training fixes on the map. They are part of the solution, and the goal depends on them.</w:t>
      </w:r>
    </w:p>
    <w:p>
      <w:pPr>
        <w:keepNext/>
        <w:spacing w:before="240" w:after="80"/>
      </w:pPr>
      <w:r>
        <w:rPr>
          <w:b/>
          <w:color w:val="5D008F"/>
          <w:sz w:val="28"/>
        </w:rPr>
        <w:t>Part 1. The business goal</w:t>
      </w:r>
    </w:p>
    <w:p>
      <w:r>
        <w:t>Moore's pattern: "A measure we already use will increase/decrease X% by date as people in a specific group DO something" (Action mapping workflow at a glance). The middle column is the solar example; use the right-hand column for your project.</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Pr>
                <w:color w:val="FFFFFF"/>
              </w:rPr>
            </w:r>
            <w:r>
              <w:rPr>
                <w:b/>
                <w:color w:val="FFFFFF"/>
              </w:rPr>
              <w:t>Question</w:t>
            </w:r>
          </w:p>
        </w:tc>
        <w:tc>
          <w:tcPr>
            <w:tcW w:type="dxa" w:w="3855"/>
            <w:shd w:val="clear" w:color="auto" w:fill="5D008F"/>
          </w:tcPr>
          <w:p>
            <w:pPr>
              <w:spacing w:before="60" w:after="60"/>
            </w:pPr>
            <w:r>
              <w:rPr>
                <w:color w:val="FFFFFF"/>
              </w:rPr>
            </w:r>
            <w:r>
              <w:rPr>
                <w:b/>
                <w:color w:val="FFFFFF"/>
              </w:rPr>
              <w:t>Solar handover (example)</w:t>
            </w:r>
          </w:p>
        </w:tc>
        <w:tc>
          <w:tcPr>
            <w:tcW w:type="dxa" w:w="3175"/>
            <w:shd w:val="clear" w:color="auto" w:fill="5D008F"/>
          </w:tcPr>
          <w:p>
            <w:pPr>
              <w:spacing w:before="60" w:after="60"/>
            </w:pPr>
            <w:r>
              <w:rPr>
                <w:color w:val="FFFFFF"/>
              </w:rPr>
            </w:r>
            <w:r>
              <w:rPr>
                <w:b/>
                <w:color w:val="FFFFFF"/>
              </w:rPr>
              <w:t>Your project</w:t>
            </w:r>
          </w:p>
        </w:tc>
      </w:tr>
      <w:tr>
        <w:trPr>
          <w:cantSplit w:val="true"/>
          <w:trHeight w:val="737"/>
        </w:trPr>
        <w:tc>
          <w:tcPr>
            <w:tcW w:type="dxa" w:w="2608"/>
          </w:tcPr>
          <w:p>
            <w:pPr>
              <w:spacing w:before="60" w:after="60"/>
            </w:pPr>
            <w:r>
              <w:rPr>
                <w:b/>
              </w:rPr>
              <w:t>What was the original request?</w:t>
            </w:r>
          </w:p>
        </w:tc>
        <w:tc>
          <w:tcPr>
            <w:tcW w:type="dxa" w:w="3855"/>
          </w:tcPr>
          <w:p>
            <w:pPr>
              <w:spacing w:before="60" w:after="60"/>
            </w:pPr>
            <w:r>
              <w:t>"A course for our installers on how solar systems work, inverter types, battery basics and good customer service."</w:t>
            </w:r>
          </w:p>
        </w:tc>
        <w:tc>
          <w:tcPr>
            <w:tcW w:type="dxa" w:w="3175"/>
          </w:tcPr>
          <w:p>
            <w:pPr>
              <w:spacing w:before="60" w:after="60"/>
            </w:pPr>
            <w:r/>
          </w:p>
        </w:tc>
      </w:tr>
      <w:tr>
        <w:trPr>
          <w:cantSplit w:val="true"/>
          <w:trHeight w:val="737"/>
        </w:trPr>
        <w:tc>
          <w:tcPr>
            <w:tcW w:type="dxa" w:w="2608"/>
            <w:shd w:val="clear" w:color="auto" w:fill="F7F0FB"/>
          </w:tcPr>
          <w:p>
            <w:pPr>
              <w:spacing w:before="60" w:after="60"/>
            </w:pPr>
            <w:r>
              <w:rPr>
                <w:b/>
              </w:rPr>
              <w:t>What problem does the organisation already measure, and what is the baseline?</w:t>
            </w:r>
          </w:p>
        </w:tc>
        <w:tc>
          <w:tcPr>
            <w:tcW w:type="dxa" w:w="3855"/>
            <w:shd w:val="clear" w:color="auto" w:fill="F7F0FB"/>
          </w:tcPr>
          <w:p>
            <w:pPr>
              <w:spacing w:before="60" w:after="60"/>
            </w:pPr>
            <w:r>
              <w:t>About 1 in 3 jobs produces a call to the support line within 30 days of installation (support log).</w:t>
            </w:r>
          </w:p>
        </w:tc>
        <w:tc>
          <w:tcPr>
            <w:tcW w:type="dxa" w:w="3175"/>
            <w:shd w:val="clear" w:color="auto" w:fill="F7F0FB"/>
          </w:tcPr>
          <w:p>
            <w:pPr>
              <w:spacing w:before="60" w:after="60"/>
            </w:pPr>
            <w:r/>
          </w:p>
        </w:tc>
      </w:tr>
      <w:tr>
        <w:trPr>
          <w:cantSplit w:val="true"/>
          <w:trHeight w:val="737"/>
        </w:trPr>
        <w:tc>
          <w:tcPr>
            <w:tcW w:type="dxa" w:w="2608"/>
          </w:tcPr>
          <w:p>
            <w:pPr>
              <w:spacing w:before="60" w:after="60"/>
            </w:pPr>
            <w:r>
              <w:rPr>
                <w:b/>
              </w:rPr>
              <w:t>Goal sentence: measure, change, date, who acts</w:t>
            </w:r>
          </w:p>
        </w:tc>
        <w:tc>
          <w:tcPr>
            <w:tcW w:type="dxa" w:w="3855"/>
          </w:tcPr>
          <w:p>
            <w:pPr>
              <w:spacing w:before="60" w:after="60"/>
            </w:pPr>
            <w:r>
              <w:t>Customer calls to the support line in the first 30 days after installation fall from about 1 in 3 jobs to 1 in 6 by 30 June, as installation leads complete the customer handover before leaving site.</w:t>
            </w:r>
          </w:p>
        </w:tc>
        <w:tc>
          <w:tcPr>
            <w:tcW w:type="dxa" w:w="3175"/>
          </w:tcPr>
          <w:p>
            <w:pPr>
              <w:spacing w:before="60" w:after="60"/>
            </w:pPr>
            <w:r/>
          </w:p>
        </w:tc>
      </w:tr>
      <w:tr>
        <w:trPr>
          <w:cantSplit w:val="true"/>
          <w:trHeight w:val="737"/>
        </w:trPr>
        <w:tc>
          <w:tcPr>
            <w:tcW w:type="dxa" w:w="2608"/>
            <w:shd w:val="clear" w:color="auto" w:fill="F7F0FB"/>
          </w:tcPr>
          <w:p>
            <w:pPr>
              <w:spacing w:before="60" w:after="60"/>
            </w:pPr>
            <w:r>
              <w:rPr>
                <w:b/>
              </w:rPr>
              <w:t>Who will report the measure, and when?</w:t>
            </w:r>
          </w:p>
        </w:tc>
        <w:tc>
          <w:tcPr>
            <w:tcW w:type="dxa" w:w="3855"/>
            <w:shd w:val="clear" w:color="auto" w:fill="F7F0FB"/>
          </w:tcPr>
          <w:p>
            <w:pPr>
              <w:spacing w:before="60" w:after="60"/>
            </w:pPr>
            <w:r>
              <w:t>The operations manager, monthly, per installation lead.</w:t>
            </w:r>
          </w:p>
        </w:tc>
        <w:tc>
          <w:tcPr>
            <w:tcW w:type="dxa" w:w="3175"/>
            <w:shd w:val="clear" w:color="auto" w:fill="F7F0FB"/>
          </w:tcPr>
          <w:p>
            <w:pPr>
              <w:spacing w:before="60" w:after="60"/>
            </w:pPr>
            <w:r/>
          </w:p>
        </w:tc>
      </w:tr>
    </w:tbl>
    <w:p>
      <w:pPr>
        <w:keepNext/>
        <w:pageBreakBefore/>
        <w:spacing w:before="240" w:after="80"/>
      </w:pPr>
      <w:r>
        <w:rPr>
          <w:b/>
          <w:color w:val="5D008F"/>
          <w:sz w:val="28"/>
        </w:rPr>
        <w:t>Part 2. Actions, and why aren't they doing them? (example)</w:t>
      </w:r>
    </w:p>
    <w:p>
      <w:r>
        <w:t>For each action, ask Moore's four flowchart questions, environment first. Environment: do people have the time, tools, schedule and process to do it, and does anything reward something else? Knowledge: is information missing, and should it live in a job aid or in memory? Skills: would they do it better with practice? Motivation: if they are not motivated, is the cause in the environment, their knowledge or their skills? Hypothetical findings from talking to two leads and the support team:</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Pr>
                <w:color w:val="FFFFFF"/>
              </w:rPr>
            </w:r>
            <w:r>
              <w:rPr>
                <w:b/>
                <w:color w:val="FFFFFF"/>
              </w:rPr>
              <w:t>Observable action</w:t>
            </w:r>
          </w:p>
        </w:tc>
        <w:tc>
          <w:tcPr>
            <w:tcW w:type="dxa" w:w="2835"/>
            <w:shd w:val="clear" w:color="auto" w:fill="5D008F"/>
          </w:tcPr>
          <w:p>
            <w:pPr>
              <w:spacing w:before="60" w:after="60"/>
            </w:pPr>
            <w:r>
              <w:rPr>
                <w:color w:val="FFFFFF"/>
              </w:rPr>
            </w:r>
            <w:r>
              <w:rPr>
                <w:b/>
                <w:color w:val="FFFFFF"/>
              </w:rPr>
              <w:t>Why aren't they doing it?</w:t>
            </w:r>
          </w:p>
        </w:tc>
        <w:tc>
          <w:tcPr>
            <w:tcW w:type="dxa" w:w="2835"/>
            <w:shd w:val="clear" w:color="auto" w:fill="5D008F"/>
          </w:tcPr>
          <w:p>
            <w:pPr>
              <w:spacing w:before="60" w:after="60"/>
            </w:pPr>
            <w:r>
              <w:rPr>
                <w:color w:val="FFFFFF"/>
              </w:rPr>
            </w:r>
            <w:r>
              <w:rPr>
                <w:b/>
                <w:color w:val="FFFFFF"/>
              </w:rPr>
              <w:t>Fix without training</w:t>
            </w:r>
          </w:p>
        </w:tc>
        <w:tc>
          <w:tcPr>
            <w:tcW w:type="dxa" w:w="1474"/>
            <w:shd w:val="clear" w:color="auto" w:fill="5D008F"/>
          </w:tcPr>
          <w:p>
            <w:pPr>
              <w:spacing w:before="60" w:after="60"/>
            </w:pPr>
            <w:r>
              <w:rPr>
                <w:color w:val="FFFFFF"/>
              </w:rPr>
            </w:r>
            <w:r>
              <w:rPr>
                <w:b/>
                <w:color w:val="FFFFFF"/>
              </w:rPr>
              <w:t>Practice needed?</w:t>
            </w:r>
          </w:p>
        </w:tc>
      </w:tr>
      <w:tr>
        <w:trPr>
          <w:cantSplit w:val="true"/>
        </w:trPr>
        <w:tc>
          <w:tcPr>
            <w:tcW w:type="dxa" w:w="2494"/>
          </w:tcPr>
          <w:p>
            <w:pPr>
              <w:spacing w:before="60" w:after="60"/>
            </w:pPr>
            <w:r>
              <w:rPr>
                <w:b/>
              </w:rPr>
              <w:t>1. Connect the monitoring app to the home Wi-Fi and show the customer today's generation on their own phone</w:t>
            </w:r>
          </w:p>
        </w:tc>
        <w:tc>
          <w:tcPr>
            <w:tcW w:type="dxa" w:w="2835"/>
          </w:tcPr>
          <w:p>
            <w:pPr>
              <w:spacing w:before="60" w:after="60"/>
            </w:pPr>
            <w:r>
              <w:t>Environment: the customer is often out when the job ends; the schedule books the handover "if time"</w:t>
            </w:r>
          </w:p>
        </w:tc>
        <w:tc>
          <w:tcPr>
            <w:tcW w:type="dxa" w:w="2835"/>
          </w:tcPr>
          <w:p>
            <w:pPr>
              <w:spacing w:before="60" w:after="60"/>
            </w:pPr>
            <w:r>
              <w:t>Book a 20-minute handover slot when the customer is home; text them the day before to have the Wi-Fi details ready</w:t>
            </w:r>
          </w:p>
        </w:tc>
        <w:tc>
          <w:tcPr>
            <w:tcW w:type="dxa" w:w="1474"/>
          </w:tcPr>
          <w:p>
            <w:pPr>
              <w:spacing w:before="60" w:after="60"/>
            </w:pPr>
            <w:r>
              <w:t>No</w:t>
            </w:r>
          </w:p>
        </w:tc>
      </w:tr>
      <w:tr>
        <w:trPr>
          <w:cantSplit w:val="true"/>
        </w:trPr>
        <w:tc>
          <w:tcPr>
            <w:tcW w:type="dxa" w:w="2494"/>
            <w:shd w:val="clear" w:color="auto" w:fill="F7F0FB"/>
          </w:tcPr>
          <w:p>
            <w:pPr>
              <w:spacing w:before="60" w:after="60"/>
            </w:pPr>
            <w:r>
              <w:rPr>
                <w:b/>
              </w:rPr>
              <w:t>2. Show the shutdown procedure at the label, then have the customer point to each switch in order</w:t>
            </w:r>
          </w:p>
        </w:tc>
        <w:tc>
          <w:tcPr>
            <w:tcW w:type="dxa" w:w="2835"/>
            <w:shd w:val="clear" w:color="auto" w:fill="F7F0FB"/>
          </w:tcPr>
          <w:p>
            <w:pPr>
              <w:spacing w:before="60" w:after="60"/>
            </w:pPr>
            <w:r>
              <w:t>Skill: leads know the sequence but rush it as a monologue, and customers forget</w:t>
            </w:r>
          </w:p>
        </w:tc>
        <w:tc>
          <w:tcPr>
            <w:tcW w:type="dxa" w:w="2835"/>
            <w:shd w:val="clear" w:color="auto" w:fill="F7F0FB"/>
          </w:tcPr>
          <w:p>
            <w:pPr>
              <w:spacing w:before="60" w:after="60"/>
            </w:pPr>
            <w:r>
              <w:t>None found</w:t>
            </w:r>
          </w:p>
        </w:tc>
        <w:tc>
          <w:tcPr>
            <w:tcW w:type="dxa" w:w="1474"/>
            <w:shd w:val="clear" w:color="auto" w:fill="F7F0FB"/>
          </w:tcPr>
          <w:p>
            <w:pPr>
              <w:spacing w:before="60" w:after="60"/>
            </w:pPr>
            <w:r>
              <w:t>Yes: the teach-back</w:t>
            </w:r>
          </w:p>
        </w:tc>
      </w:tr>
      <w:tr>
        <w:trPr>
          <w:cantSplit w:val="true"/>
        </w:trPr>
        <w:tc>
          <w:tcPr>
            <w:tcW w:type="dxa" w:w="2494"/>
          </w:tcPr>
          <w:p>
            <w:pPr>
              <w:spacing w:before="60" w:after="60"/>
            </w:pPr>
            <w:r>
              <w:rPr>
                <w:b/>
              </w:rPr>
              <w:t>3. Explain what the system does in a blackout and what to expect on the first bill, without promising a dollar saving</w:t>
            </w:r>
          </w:p>
        </w:tc>
        <w:tc>
          <w:tcPr>
            <w:tcW w:type="dxa" w:w="2835"/>
          </w:tcPr>
          <w:p>
            <w:pPr>
              <w:spacing w:before="60" w:after="60"/>
            </w:pPr>
            <w:r>
              <w:t>Knowledge and skill: newer leads are unsure how to answer without overpromising</w:t>
            </w:r>
          </w:p>
        </w:tc>
        <w:tc>
          <w:tcPr>
            <w:tcW w:type="dxa" w:w="2835"/>
          </w:tcPr>
          <w:p>
            <w:pPr>
              <w:spacing w:before="60" w:after="60"/>
            </w:pPr>
            <w:r>
              <w:t>A one-page handover card with the blackout answer and the savings rule</w:t>
            </w:r>
          </w:p>
        </w:tc>
        <w:tc>
          <w:tcPr>
            <w:tcW w:type="dxa" w:w="1474"/>
          </w:tcPr>
          <w:p>
            <w:pPr>
              <w:spacing w:before="60" w:after="60"/>
            </w:pPr>
            <w:r>
              <w:t>Yes: the two conversations</w:t>
            </w:r>
          </w:p>
        </w:tc>
      </w:tr>
      <w:tr>
        <w:trPr>
          <w:cantSplit w:val="true"/>
        </w:trPr>
        <w:tc>
          <w:tcPr>
            <w:tcW w:type="dxa" w:w="2494"/>
            <w:shd w:val="clear" w:color="auto" w:fill="F7F0FB"/>
          </w:tcPr>
          <w:p>
            <w:pPr>
              <w:spacing w:before="60" w:after="60"/>
            </w:pPr>
            <w:r>
              <w:rPr>
                <w:b/>
              </w:rPr>
              <w:t>4. Upload the commissioning sheet and photos in the job app before leaving site</w:t>
            </w:r>
          </w:p>
        </w:tc>
        <w:tc>
          <w:tcPr>
            <w:tcW w:type="dxa" w:w="2835"/>
            <w:shd w:val="clear" w:color="auto" w:fill="F7F0FB"/>
          </w:tcPr>
          <w:p>
            <w:pPr>
              <w:spacing w:before="60" w:after="60"/>
            </w:pPr>
            <w:r>
              <w:t>Motivation and environment: uploads are slow in poor reception, nobody checks until the office chases, and leads are paid per job</w:t>
            </w:r>
          </w:p>
        </w:tc>
        <w:tc>
          <w:tcPr>
            <w:tcW w:type="dxa" w:w="2835"/>
            <w:shd w:val="clear" w:color="auto" w:fill="F7F0FB"/>
          </w:tcPr>
          <w:p>
            <w:pPr>
              <w:spacing w:before="60" w:after="60"/>
            </w:pPr>
            <w:r>
              <w:t>The job app blocks job completion until the upload is done, with an offline queue; "handover complete" goes on the weekly report</w:t>
            </w:r>
          </w:p>
        </w:tc>
        <w:tc>
          <w:tcPr>
            <w:tcW w:type="dxa" w:w="1474"/>
            <w:shd w:val="clear" w:color="auto" w:fill="F7F0FB"/>
          </w:tcPr>
          <w:p>
            <w:pPr>
              <w:spacing w:before="60" w:after="60"/>
            </w:pPr>
            <w:r>
              <w:t>No</w:t>
            </w:r>
          </w:p>
        </w:tc>
      </w:tr>
    </w:tbl>
    <w:p>
      <w:pPr>
        <w:spacing w:before="160"/>
      </w:pPr>
      <w:r>
        <w:t>Result: two of the four actions are handled by a schedule change and an app setting. Only actions 2 and 3 go on to Part 3.</w:t>
      </w:r>
    </w:p>
    <w:p>
      <w:pPr>
        <w:keepNext/>
        <w:pageBreakBefore/>
        <w:spacing w:before="240" w:after="80"/>
      </w:pPr>
      <w:r>
        <w:rPr>
          <w:b/>
          <w:color w:val="5D008F"/>
          <w:sz w:val="28"/>
        </w:rPr>
        <w:t>Part 2. Your actions</w:t>
      </w:r>
    </w:p>
    <w:p>
      <w:r>
        <w:t>Goal (from Part 1):</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2494"/>
            <w:shd w:val="clear" w:color="auto" w:fill="5D008F"/>
          </w:tcPr>
          <w:p>
            <w:pPr>
              <w:spacing w:before="60" w:after="60"/>
            </w:pPr>
            <w:r>
              <w:rPr>
                <w:color w:val="FFFFFF"/>
              </w:rPr>
            </w:r>
            <w:r>
              <w:rPr>
                <w:b/>
                <w:color w:val="FFFFFF"/>
              </w:rPr>
              <w:t>Observable action</w:t>
            </w:r>
          </w:p>
        </w:tc>
        <w:tc>
          <w:tcPr>
            <w:tcW w:type="dxa" w:w="2835"/>
            <w:shd w:val="clear" w:color="auto" w:fill="5D008F"/>
          </w:tcPr>
          <w:p>
            <w:pPr>
              <w:spacing w:before="60" w:after="60"/>
            </w:pPr>
            <w:r>
              <w:rPr>
                <w:color w:val="FFFFFF"/>
              </w:rPr>
            </w:r>
            <w:r>
              <w:rPr>
                <w:b/>
                <w:color w:val="FFFFFF"/>
              </w:rPr>
              <w:t>Why aren't they doing it? (environment, knowledge, skills, motivation)</w:t>
            </w:r>
          </w:p>
        </w:tc>
        <w:tc>
          <w:tcPr>
            <w:tcW w:type="dxa" w:w="2835"/>
            <w:shd w:val="clear" w:color="auto" w:fill="5D008F"/>
          </w:tcPr>
          <w:p>
            <w:pPr>
              <w:spacing w:before="60" w:after="60"/>
            </w:pPr>
            <w:r>
              <w:rPr>
                <w:color w:val="FFFFFF"/>
              </w:rPr>
            </w:r>
            <w:r>
              <w:rPr>
                <w:b/>
                <w:color w:val="FFFFFF"/>
              </w:rPr>
              <w:t>Fix without training</w:t>
            </w:r>
          </w:p>
        </w:tc>
        <w:tc>
          <w:tcPr>
            <w:tcW w:type="dxa" w:w="1474"/>
            <w:shd w:val="clear" w:color="auto" w:fill="5D008F"/>
          </w:tcPr>
          <w:p>
            <w:pPr>
              <w:spacing w:before="60" w:after="60"/>
            </w:pPr>
            <w:r>
              <w:rPr>
                <w:color w:val="FFFFFF"/>
              </w:rPr>
            </w:r>
            <w:r>
              <w:rPr>
                <w:b/>
                <w:color w:val="FFFFFF"/>
              </w:rPr>
              <w:t>Practice needed?</w:t>
            </w:r>
          </w:p>
        </w:tc>
      </w:tr>
      <w:tr>
        <w:trPr>
          <w:cantSplit w:val="true"/>
          <w:trHeight w:val="1701"/>
        </w:trPr>
        <w:tc>
          <w:tcPr>
            <w:tcW w:type="dxa" w:w="2494"/>
          </w:tcPr>
          <w:p>
            <w:pPr>
              <w:spacing w:before="60" w:after="60"/>
            </w:pPr>
            <w:r>
              <w:rPr>
                <w:b/>
              </w:rPr>
              <w:t>1.</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r>
        <w:trPr>
          <w:cantSplit w:val="true"/>
          <w:trHeight w:val="1701"/>
        </w:trPr>
        <w:tc>
          <w:tcPr>
            <w:tcW w:type="dxa" w:w="2494"/>
            <w:shd w:val="clear" w:color="auto" w:fill="F7F0FB"/>
          </w:tcPr>
          <w:p>
            <w:pPr>
              <w:spacing w:before="60" w:after="60"/>
            </w:pPr>
            <w:r>
              <w:rPr>
                <w:b/>
              </w:rPr>
              <w:t>2.</w:t>
            </w:r>
          </w:p>
        </w:tc>
        <w:tc>
          <w:tcPr>
            <w:tcW w:type="dxa" w:w="2835"/>
            <w:shd w:val="clear" w:color="auto" w:fill="F7F0FB"/>
          </w:tcPr>
          <w:p>
            <w:pPr>
              <w:spacing w:before="60" w:after="60"/>
            </w:pPr>
            <w:r/>
          </w:p>
        </w:tc>
        <w:tc>
          <w:tcPr>
            <w:tcW w:type="dxa" w:w="2835"/>
            <w:shd w:val="clear" w:color="auto" w:fill="F7F0FB"/>
          </w:tcPr>
          <w:p>
            <w:pPr>
              <w:spacing w:before="60" w:after="60"/>
            </w:pPr>
            <w:r/>
          </w:p>
        </w:tc>
        <w:tc>
          <w:tcPr>
            <w:tcW w:type="dxa" w:w="1474"/>
            <w:shd w:val="clear" w:color="auto" w:fill="F7F0FB"/>
          </w:tcPr>
          <w:p>
            <w:pPr>
              <w:spacing w:before="60" w:after="60"/>
            </w:pPr>
            <w:r/>
          </w:p>
        </w:tc>
      </w:tr>
      <w:tr>
        <w:trPr>
          <w:cantSplit w:val="true"/>
          <w:trHeight w:val="1701"/>
        </w:trPr>
        <w:tc>
          <w:tcPr>
            <w:tcW w:type="dxa" w:w="2494"/>
          </w:tcPr>
          <w:p>
            <w:pPr>
              <w:spacing w:before="60" w:after="60"/>
            </w:pPr>
            <w:r>
              <w:rPr>
                <w:b/>
              </w:rPr>
              <w:t>3.</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r>
        <w:trPr>
          <w:cantSplit w:val="true"/>
          <w:trHeight w:val="1701"/>
        </w:trPr>
        <w:tc>
          <w:tcPr>
            <w:tcW w:type="dxa" w:w="2494"/>
            <w:shd w:val="clear" w:color="auto" w:fill="F7F0FB"/>
          </w:tcPr>
          <w:p>
            <w:pPr>
              <w:spacing w:before="60" w:after="60"/>
            </w:pPr>
            <w:r>
              <w:rPr>
                <w:b/>
              </w:rPr>
              <w:t>4.</w:t>
            </w:r>
          </w:p>
        </w:tc>
        <w:tc>
          <w:tcPr>
            <w:tcW w:type="dxa" w:w="2835"/>
            <w:shd w:val="clear" w:color="auto" w:fill="F7F0FB"/>
          </w:tcPr>
          <w:p>
            <w:pPr>
              <w:spacing w:before="60" w:after="60"/>
            </w:pPr>
            <w:r/>
          </w:p>
        </w:tc>
        <w:tc>
          <w:tcPr>
            <w:tcW w:type="dxa" w:w="2835"/>
            <w:shd w:val="clear" w:color="auto" w:fill="F7F0FB"/>
          </w:tcPr>
          <w:p>
            <w:pPr>
              <w:spacing w:before="60" w:after="60"/>
            </w:pPr>
            <w:r/>
          </w:p>
        </w:tc>
        <w:tc>
          <w:tcPr>
            <w:tcW w:type="dxa" w:w="1474"/>
            <w:shd w:val="clear" w:color="auto" w:fill="F7F0FB"/>
          </w:tcPr>
          <w:p>
            <w:pPr>
              <w:spacing w:before="60" w:after="60"/>
            </w:pPr>
            <w:r/>
          </w:p>
        </w:tc>
      </w:tr>
      <w:tr>
        <w:trPr>
          <w:cantSplit w:val="true"/>
          <w:trHeight w:val="1701"/>
        </w:trPr>
        <w:tc>
          <w:tcPr>
            <w:tcW w:type="dxa" w:w="2494"/>
          </w:tcPr>
          <w:p>
            <w:pPr>
              <w:spacing w:before="60" w:after="60"/>
            </w:pPr>
            <w:r>
              <w:rPr>
                <w:b/>
              </w:rPr>
              <w:t>5.</w:t>
            </w:r>
          </w:p>
        </w:tc>
        <w:tc>
          <w:tcPr>
            <w:tcW w:type="dxa" w:w="2835"/>
          </w:tcPr>
          <w:p>
            <w:pPr>
              <w:spacing w:before="60" w:after="60"/>
            </w:pPr>
            <w:r/>
          </w:p>
        </w:tc>
        <w:tc>
          <w:tcPr>
            <w:tcW w:type="dxa" w:w="2835"/>
          </w:tcPr>
          <w:p>
            <w:pPr>
              <w:spacing w:before="60" w:after="60"/>
            </w:pPr>
            <w:r/>
          </w:p>
        </w:tc>
        <w:tc>
          <w:tcPr>
            <w:tcW w:type="dxa" w:w="1474"/>
          </w:tcPr>
          <w:p>
            <w:pPr>
              <w:spacing w:before="60" w:after="60"/>
            </w:pPr>
            <w:r/>
          </w:p>
        </w:tc>
      </w:tr>
    </w:tbl>
    <w:p>
      <w:pPr>
        <w:keepNext/>
        <w:pageBreakBefore/>
        <w:spacing w:before="240" w:after="80"/>
      </w:pPr>
      <w:r>
        <w:rPr>
          <w:b/>
          <w:color w:val="5D008F"/>
          <w:sz w:val="28"/>
        </w:rPr>
        <w:t>Part 3. Practice and minimum information (example)</w:t>
      </w:r>
    </w:p>
    <w:p>
      <w:r>
        <w:t>Only for actions marked for practice. Each activity puts the learner in the role, facing a realistic situation, and shows the consequence of each choice before any explanation. Then list only the information the activity needs.</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928"/>
            <w:shd w:val="clear" w:color="auto" w:fill="5D008F"/>
          </w:tcPr>
          <w:p>
            <w:pPr>
              <w:spacing w:before="60" w:after="60"/>
            </w:pPr>
            <w:r>
              <w:rPr>
                <w:color w:val="FFFFFF"/>
              </w:rPr>
            </w:r>
            <w:r>
              <w:rPr>
                <w:b/>
                <w:color w:val="FFFFFF"/>
              </w:rPr>
              <w:t>Action</w:t>
            </w:r>
          </w:p>
        </w:tc>
        <w:tc>
          <w:tcPr>
            <w:tcW w:type="dxa" w:w="3628"/>
            <w:shd w:val="clear" w:color="auto" w:fill="5D008F"/>
          </w:tcPr>
          <w:p>
            <w:pPr>
              <w:spacing w:before="60" w:after="60"/>
            </w:pPr>
            <w:r>
              <w:rPr>
                <w:color w:val="FFFFFF"/>
              </w:rPr>
            </w:r>
            <w:r>
              <w:rPr>
                <w:b/>
                <w:color w:val="FFFFFF"/>
              </w:rPr>
              <w:t>Practice activity</w:t>
            </w:r>
          </w:p>
        </w:tc>
        <w:tc>
          <w:tcPr>
            <w:tcW w:type="dxa" w:w="2608"/>
            <w:shd w:val="clear" w:color="auto" w:fill="5D008F"/>
          </w:tcPr>
          <w:p>
            <w:pPr>
              <w:spacing w:before="60" w:after="60"/>
            </w:pPr>
            <w:r>
              <w:rPr>
                <w:color w:val="FFFFFF"/>
              </w:rPr>
            </w:r>
            <w:r>
              <w:rPr>
                <w:b/>
                <w:color w:val="FFFFFF"/>
              </w:rPr>
              <w:t>Information the practice needs</w:t>
            </w:r>
          </w:p>
        </w:tc>
        <w:tc>
          <w:tcPr>
            <w:tcW w:type="dxa" w:w="1474"/>
            <w:shd w:val="clear" w:color="auto" w:fill="5D008F"/>
          </w:tcPr>
          <w:p>
            <w:pPr>
              <w:spacing w:before="60" w:after="60"/>
            </w:pPr>
            <w:r>
              <w:rPr>
                <w:color w:val="FFFFFF"/>
              </w:rPr>
            </w:r>
            <w:r>
              <w:rPr>
                <w:b/>
                <w:color w:val="FFFFFF"/>
              </w:rPr>
              <w:t>Memory or job aid?</w:t>
            </w:r>
          </w:p>
        </w:tc>
      </w:tr>
      <w:tr>
        <w:trPr>
          <w:cantSplit w:val="true"/>
        </w:trPr>
        <w:tc>
          <w:tcPr>
            <w:tcW w:type="dxa" w:w="1928"/>
          </w:tcPr>
          <w:p>
            <w:pPr>
              <w:spacing w:before="60" w:after="60"/>
            </w:pPr>
            <w:r>
              <w:rPr>
                <w:b/>
              </w:rPr>
              <w:t>2. Shutdown teach-back</w:t>
            </w:r>
          </w:p>
        </w:tc>
        <w:tc>
          <w:tcPr>
            <w:tcW w:type="dxa" w:w="3628"/>
          </w:tcPr>
          <w:p>
            <w:pPr>
              <w:spacing w:before="60" w:after="60"/>
            </w:pPr>
            <w:r>
              <w:t>The learner puts the steps on a shutdown label photo in order, then chooses how to check the customer understood: ask "Any questions?", have the customer point to each switch in order, or leave the card on the switchboard. Only pointing to each switch catches the customer mixing up two switches.</w:t>
            </w:r>
          </w:p>
        </w:tc>
        <w:tc>
          <w:tcPr>
            <w:tcW w:type="dxa" w:w="2608"/>
          </w:tcPr>
          <w:p>
            <w:pPr>
              <w:spacing w:before="60" w:after="60"/>
            </w:pPr>
            <w:r>
              <w:t>The site's shutdown label; the manufacturer's procedure</w:t>
            </w:r>
          </w:p>
        </w:tc>
        <w:tc>
          <w:tcPr>
            <w:tcW w:type="dxa" w:w="1474"/>
          </w:tcPr>
          <w:p>
            <w:pPr>
              <w:spacing w:before="60" w:after="60"/>
            </w:pPr>
            <w:r>
              <w:t>Job aid: the label on site</w:t>
            </w:r>
          </w:p>
        </w:tc>
      </w:tr>
      <w:tr>
        <w:trPr>
          <w:cantSplit w:val="true"/>
        </w:trPr>
        <w:tc>
          <w:tcPr>
            <w:tcW w:type="dxa" w:w="1928"/>
            <w:shd w:val="clear" w:color="auto" w:fill="F7F0FB"/>
          </w:tcPr>
          <w:p>
            <w:pPr>
              <w:spacing w:before="60" w:after="60"/>
            </w:pPr>
            <w:r>
              <w:rPr>
                <w:b/>
              </w:rPr>
              <w:t>3. Blackout conversation</w:t>
            </w:r>
          </w:p>
        </w:tc>
        <w:tc>
          <w:tcPr>
            <w:tcW w:type="dxa" w:w="3628"/>
            <w:shd w:val="clear" w:color="auto" w:fill="F7F0FB"/>
          </w:tcPr>
          <w:p>
            <w:pPr>
              <w:spacing w:before="60" w:after="60"/>
            </w:pPr>
            <w:r>
              <w:t>An older homeowner asks, "So if the power goes off, I'm still fine, right?" The system has no battery. The learner chooses what to say; each reply shows what happens next, then a senior installation lead's note.</w:t>
            </w:r>
          </w:p>
        </w:tc>
        <w:tc>
          <w:tcPr>
            <w:tcW w:type="dxa" w:w="2608"/>
            <w:shd w:val="clear" w:color="auto" w:fill="F7F0FB"/>
          </w:tcPr>
          <w:p>
            <w:pPr>
              <w:spacing w:before="60" w:after="60"/>
            </w:pPr>
            <w:r>
              <w:t>A system without a battery switches off in a blackout for safety; with battery backup, selected circuits can keep running</w:t>
            </w:r>
          </w:p>
        </w:tc>
        <w:tc>
          <w:tcPr>
            <w:tcW w:type="dxa" w:w="1474"/>
            <w:shd w:val="clear" w:color="auto" w:fill="F7F0FB"/>
          </w:tcPr>
          <w:p>
            <w:pPr>
              <w:spacing w:before="60" w:after="60"/>
            </w:pPr>
            <w:r>
              <w:t>Memory for the answer; the handover card for the customer</w:t>
            </w:r>
          </w:p>
        </w:tc>
      </w:tr>
      <w:tr>
        <w:trPr>
          <w:cantSplit w:val="true"/>
        </w:trPr>
        <w:tc>
          <w:tcPr>
            <w:tcW w:type="dxa" w:w="1928"/>
          </w:tcPr>
          <w:p>
            <w:pPr>
              <w:spacing w:before="60" w:after="60"/>
            </w:pPr>
            <w:r>
              <w:rPr>
                <w:b/>
              </w:rPr>
              <w:t>3. Savings conversation</w:t>
            </w:r>
          </w:p>
        </w:tc>
        <w:tc>
          <w:tcPr>
            <w:tcW w:type="dxa" w:w="3628"/>
          </w:tcPr>
          <w:p>
            <w:pPr>
              <w:spacing w:before="60" w:after="60"/>
            </w:pPr>
            <w:r>
              <w:t>The customer asks, "How much will this knock off my bill?" The learner chooses between quoting the proposal's figure as a promise, explaining what the bill will show and referring savings questions to the proposal and the sales consultant, or guessing an amount.</w:t>
            </w:r>
          </w:p>
        </w:tc>
        <w:tc>
          <w:tcPr>
            <w:tcW w:type="dxa" w:w="2608"/>
          </w:tcPr>
          <w:p>
            <w:pPr>
              <w:spacing w:before="60" w:after="60"/>
            </w:pPr>
            <w:r>
              <w:t>Company rule: never quote a dollar saving; refer savings questions to the sales proposal and the sales consultant</w:t>
            </w:r>
          </w:p>
        </w:tc>
        <w:tc>
          <w:tcPr>
            <w:tcW w:type="dxa" w:w="1474"/>
          </w:tcPr>
          <w:p>
            <w:pPr>
              <w:spacing w:before="60" w:after="60"/>
            </w:pPr>
            <w:r>
              <w:t>Memory for the rule; the handover card</w:t>
            </w:r>
          </w:p>
        </w:tc>
      </w:tr>
    </w:tbl>
    <w:p>
      <w:pPr>
        <w:spacing w:before="160"/>
      </w:pPr>
      <w:r>
        <w:t>Not in the course: how solar works, inverter types, battery basics or customer service theory. No practice activity needs them.</w:t>
      </w:r>
    </w:p>
    <w:p>
      <w:pPr>
        <w:keepNext/>
        <w:pageBreakBefore/>
        <w:spacing w:before="240" w:after="80"/>
      </w:pPr>
      <w:r>
        <w:rPr>
          <w:b/>
          <w:color w:val="5D008F"/>
          <w:sz w:val="28"/>
        </w:rPr>
        <w:t>Part 3. Your practice and information</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2493"/>
        <w:gridCol w:w="2493"/>
        <w:gridCol w:w="2493"/>
        <w:gridCol w:w="2493"/>
      </w:tblGrid>
      <w:tr>
        <w:trPr>
          <w:tblHeader w:val="true"/>
          <w:cantSplit w:val="true"/>
        </w:trPr>
        <w:tc>
          <w:tcPr>
            <w:tcW w:type="dxa" w:w="1928"/>
            <w:shd w:val="clear" w:color="auto" w:fill="5D008F"/>
          </w:tcPr>
          <w:p>
            <w:pPr>
              <w:spacing w:before="60" w:after="60"/>
            </w:pPr>
            <w:r>
              <w:rPr>
                <w:color w:val="FFFFFF"/>
              </w:rPr>
            </w:r>
            <w:r>
              <w:rPr>
                <w:b/>
                <w:color w:val="FFFFFF"/>
              </w:rPr>
              <w:t>Action</w:t>
            </w:r>
          </w:p>
        </w:tc>
        <w:tc>
          <w:tcPr>
            <w:tcW w:type="dxa" w:w="3628"/>
            <w:shd w:val="clear" w:color="auto" w:fill="5D008F"/>
          </w:tcPr>
          <w:p>
            <w:pPr>
              <w:spacing w:before="60" w:after="60"/>
            </w:pPr>
            <w:r>
              <w:rPr>
                <w:color w:val="FFFFFF"/>
              </w:rPr>
            </w:r>
            <w:r>
              <w:rPr>
                <w:b/>
                <w:color w:val="FFFFFF"/>
              </w:rPr>
              <w:t>Practice activity: situation, decision, consequences</w:t>
            </w:r>
          </w:p>
        </w:tc>
        <w:tc>
          <w:tcPr>
            <w:tcW w:type="dxa" w:w="2608"/>
            <w:shd w:val="clear" w:color="auto" w:fill="5D008F"/>
          </w:tcPr>
          <w:p>
            <w:pPr>
              <w:spacing w:before="60" w:after="60"/>
            </w:pPr>
            <w:r>
              <w:rPr>
                <w:color w:val="FFFFFF"/>
              </w:rPr>
            </w:r>
            <w:r>
              <w:rPr>
                <w:b/>
                <w:color w:val="FFFFFF"/>
              </w:rPr>
              <w:t>Information the practice needs</w:t>
            </w:r>
          </w:p>
        </w:tc>
        <w:tc>
          <w:tcPr>
            <w:tcW w:type="dxa" w:w="1474"/>
            <w:shd w:val="clear" w:color="auto" w:fill="5D008F"/>
          </w:tcPr>
          <w:p>
            <w:pPr>
              <w:spacing w:before="60" w:after="60"/>
            </w:pPr>
            <w:r>
              <w:rPr>
                <w:color w:val="FFFFFF"/>
              </w:rPr>
            </w:r>
            <w:r>
              <w:rPr>
                <w:b/>
                <w:color w:val="FFFFFF"/>
              </w:rPr>
              <w:t>Memory or job aid?</w:t>
            </w:r>
          </w:p>
        </w:tc>
      </w:tr>
      <w:tr>
        <w:trPr>
          <w:cantSplit w:val="true"/>
          <w:trHeight w:val="2041"/>
        </w:trPr>
        <w:tc>
          <w:tcPr>
            <w:tcW w:type="dxa" w:w="1928"/>
          </w:tcPr>
          <w:p>
            <w:pPr>
              <w:spacing w:before="60" w:after="60"/>
            </w:pPr>
            <w:r>
              <w:rPr>
                <w:b/>
              </w:rPr>
            </w:r>
          </w:p>
        </w:tc>
        <w:tc>
          <w:tcPr>
            <w:tcW w:type="dxa" w:w="3628"/>
          </w:tcPr>
          <w:p>
            <w:pPr>
              <w:spacing w:before="60" w:after="60"/>
            </w:pPr>
            <w:r/>
          </w:p>
        </w:tc>
        <w:tc>
          <w:tcPr>
            <w:tcW w:type="dxa" w:w="2608"/>
          </w:tcPr>
          <w:p>
            <w:pPr>
              <w:spacing w:before="60" w:after="60"/>
            </w:pPr>
            <w:r/>
          </w:p>
        </w:tc>
        <w:tc>
          <w:tcPr>
            <w:tcW w:type="dxa" w:w="1474"/>
          </w:tcPr>
          <w:p>
            <w:pPr>
              <w:spacing w:before="60" w:after="60"/>
            </w:pPr>
            <w:r/>
          </w:p>
        </w:tc>
      </w:tr>
      <w:tr>
        <w:trPr>
          <w:cantSplit w:val="true"/>
          <w:trHeight w:val="2041"/>
        </w:trPr>
        <w:tc>
          <w:tcPr>
            <w:tcW w:type="dxa" w:w="1928"/>
            <w:shd w:val="clear" w:color="auto" w:fill="F7F0FB"/>
          </w:tcPr>
          <w:p>
            <w:pPr>
              <w:spacing w:before="60" w:after="60"/>
            </w:pPr>
            <w:r>
              <w:rPr>
                <w:b/>
              </w:rPr>
            </w:r>
          </w:p>
        </w:tc>
        <w:tc>
          <w:tcPr>
            <w:tcW w:type="dxa" w:w="3628"/>
            <w:shd w:val="clear" w:color="auto" w:fill="F7F0FB"/>
          </w:tcPr>
          <w:p>
            <w:pPr>
              <w:spacing w:before="60" w:after="60"/>
            </w:pPr>
            <w:r/>
          </w:p>
        </w:tc>
        <w:tc>
          <w:tcPr>
            <w:tcW w:type="dxa" w:w="2608"/>
            <w:shd w:val="clear" w:color="auto" w:fill="F7F0FB"/>
          </w:tcPr>
          <w:p>
            <w:pPr>
              <w:spacing w:before="60" w:after="60"/>
            </w:pPr>
            <w:r/>
          </w:p>
        </w:tc>
        <w:tc>
          <w:tcPr>
            <w:tcW w:type="dxa" w:w="1474"/>
            <w:shd w:val="clear" w:color="auto" w:fill="F7F0FB"/>
          </w:tcPr>
          <w:p>
            <w:pPr>
              <w:spacing w:before="60" w:after="60"/>
            </w:pPr>
            <w:r/>
          </w:p>
        </w:tc>
      </w:tr>
      <w:tr>
        <w:trPr>
          <w:cantSplit w:val="true"/>
          <w:trHeight w:val="2041"/>
        </w:trPr>
        <w:tc>
          <w:tcPr>
            <w:tcW w:type="dxa" w:w="1928"/>
          </w:tcPr>
          <w:p>
            <w:pPr>
              <w:spacing w:before="60" w:after="60"/>
            </w:pPr>
            <w:r>
              <w:rPr>
                <w:b/>
              </w:rPr>
            </w:r>
          </w:p>
        </w:tc>
        <w:tc>
          <w:tcPr>
            <w:tcW w:type="dxa" w:w="3628"/>
          </w:tcPr>
          <w:p>
            <w:pPr>
              <w:spacing w:before="60" w:after="60"/>
            </w:pPr>
            <w:r/>
          </w:p>
        </w:tc>
        <w:tc>
          <w:tcPr>
            <w:tcW w:type="dxa" w:w="2608"/>
          </w:tcPr>
          <w:p>
            <w:pPr>
              <w:spacing w:before="60" w:after="60"/>
            </w:pPr>
            <w:r/>
          </w:p>
        </w:tc>
        <w:tc>
          <w:tcPr>
            <w:tcW w:type="dxa" w:w="1474"/>
          </w:tcPr>
          <w:p>
            <w:pPr>
              <w:spacing w:before="60" w:after="60"/>
            </w:pPr>
            <w:r/>
          </w:p>
        </w:tc>
      </w:tr>
      <w:tr>
        <w:trPr>
          <w:cantSplit w:val="true"/>
          <w:trHeight w:val="2041"/>
        </w:trPr>
        <w:tc>
          <w:tcPr>
            <w:tcW w:type="dxa" w:w="1928"/>
            <w:shd w:val="clear" w:color="auto" w:fill="F7F0FB"/>
          </w:tcPr>
          <w:p>
            <w:pPr>
              <w:spacing w:before="60" w:after="60"/>
            </w:pPr>
            <w:r>
              <w:rPr>
                <w:b/>
              </w:rPr>
            </w:r>
          </w:p>
        </w:tc>
        <w:tc>
          <w:tcPr>
            <w:tcW w:type="dxa" w:w="3628"/>
            <w:shd w:val="clear" w:color="auto" w:fill="F7F0FB"/>
          </w:tcPr>
          <w:p>
            <w:pPr>
              <w:spacing w:before="60" w:after="60"/>
            </w:pPr>
            <w:r/>
          </w:p>
        </w:tc>
        <w:tc>
          <w:tcPr>
            <w:tcW w:type="dxa" w:w="2608"/>
            <w:shd w:val="clear" w:color="auto" w:fill="F7F0FB"/>
          </w:tcPr>
          <w:p>
            <w:pPr>
              <w:spacing w:before="60" w:after="60"/>
            </w:pPr>
            <w:r/>
          </w:p>
        </w:tc>
        <w:tc>
          <w:tcPr>
            <w:tcW w:type="dxa" w:w="1474"/>
            <w:shd w:val="clear" w:color="auto" w:fill="F7F0FB"/>
          </w:tcPr>
          <w:p>
            <w:pPr>
              <w:spacing w:before="60" w:after="60"/>
            </w:pPr>
            <w:r/>
          </w:p>
        </w:tc>
      </w:tr>
    </w:tbl>
    <w:p>
      <w:pPr>
        <w:keepNext/>
        <w:pageBreakBefore/>
        <w:spacing w:before="240" w:after="80"/>
      </w:pPr>
      <w:r>
        <w:rPr>
          <w:b/>
          <w:color w:val="5D008F"/>
          <w:sz w:val="28"/>
        </w:rPr>
        <w:t>Part 4. How you will check the goal</w:t>
      </w:r>
    </w:p>
    <w:p>
      <w:r>
        <w:t>Write this before the design work starts. Moore suggests Robert Brinkerhoff's Success Case Method to find out what is working and what is not once all the solutions are in place. Completion and ratings show that people took part, not that the goal moved.</w:t>
      </w:r>
    </w:p>
    <w:tbl>
      <w:tblPr>
        <w:tblW w:type="auto" w:w="0"/>
        <w:jc w:val="center"/>
        <w:tblLook w:firstColumn="1" w:firstRow="1" w:lastColumn="0" w:lastRow="0" w:noHBand="0" w:noVBand="1" w:val="04A0"/>
        <w:tblBorders>
          <w:top w:val="single" w:sz="6" w:color="D9CCE3"/>
          <w:left w:val="single" w:sz="6" w:color="D9CCE3"/>
          <w:bottom w:val="single" w:sz="6" w:color="D9CCE3"/>
          <w:right w:val="single" w:sz="6" w:color="D9CCE3"/>
          <w:insideH w:val="single" w:sz="6" w:color="D9CCE3"/>
          <w:insideV w:val="single" w:sz="6" w:color="D9CCE3"/>
        </w:tblBorders>
      </w:tblPr>
      <w:tblGrid>
        <w:gridCol w:w="3324"/>
        <w:gridCol w:w="3324"/>
        <w:gridCol w:w="3324"/>
      </w:tblGrid>
      <w:tr>
        <w:trPr>
          <w:tblHeader w:val="true"/>
          <w:cantSplit w:val="true"/>
        </w:trPr>
        <w:tc>
          <w:tcPr>
            <w:tcW w:type="dxa" w:w="2608"/>
            <w:shd w:val="clear" w:color="auto" w:fill="5D008F"/>
          </w:tcPr>
          <w:p>
            <w:pPr>
              <w:spacing w:before="60" w:after="60"/>
            </w:pPr>
            <w:r>
              <w:rPr>
                <w:color w:val="FFFFFF"/>
              </w:rPr>
            </w:r>
            <w:r>
              <w:rPr>
                <w:b/>
                <w:color w:val="FFFFFF"/>
              </w:rPr>
              <w:t>Question</w:t>
            </w:r>
          </w:p>
        </w:tc>
        <w:tc>
          <w:tcPr>
            <w:tcW w:type="dxa" w:w="3855"/>
            <w:shd w:val="clear" w:color="auto" w:fill="5D008F"/>
          </w:tcPr>
          <w:p>
            <w:pPr>
              <w:spacing w:before="60" w:after="60"/>
            </w:pPr>
            <w:r>
              <w:rPr>
                <w:color w:val="FFFFFF"/>
              </w:rPr>
            </w:r>
            <w:r>
              <w:rPr>
                <w:b/>
                <w:color w:val="FFFFFF"/>
              </w:rPr>
              <w:t>Solar handover (example)</w:t>
            </w:r>
          </w:p>
        </w:tc>
        <w:tc>
          <w:tcPr>
            <w:tcW w:type="dxa" w:w="3175"/>
            <w:shd w:val="clear" w:color="auto" w:fill="5D008F"/>
          </w:tcPr>
          <w:p>
            <w:pPr>
              <w:spacing w:before="60" w:after="60"/>
            </w:pPr>
            <w:r>
              <w:rPr>
                <w:color w:val="FFFFFF"/>
              </w:rPr>
            </w:r>
            <w:r>
              <w:rPr>
                <w:b/>
                <w:color w:val="FFFFFF"/>
              </w:rPr>
              <w:t>Your project</w:t>
            </w:r>
          </w:p>
        </w:tc>
      </w:tr>
      <w:tr>
        <w:trPr>
          <w:cantSplit w:val="true"/>
          <w:trHeight w:val="907"/>
        </w:trPr>
        <w:tc>
          <w:tcPr>
            <w:tcW w:type="dxa" w:w="2608"/>
          </w:tcPr>
          <w:p>
            <w:pPr>
              <w:spacing w:before="60" w:after="60"/>
            </w:pPr>
            <w:r>
              <w:rPr>
                <w:b/>
              </w:rPr>
              <w:t>What will you check on the job, and how?</w:t>
            </w:r>
          </w:p>
        </w:tc>
        <w:tc>
          <w:tcPr>
            <w:tcW w:type="dxa" w:w="3855"/>
          </w:tcPr>
          <w:p>
            <w:pPr>
              <w:spacing w:before="60" w:after="60"/>
            </w:pPr>
            <w:r>
              <w:t>The operations manager observes or reviews the job app for each lead's next five handovers against the four actions.</w:t>
            </w:r>
          </w:p>
        </w:tc>
        <w:tc>
          <w:tcPr>
            <w:tcW w:type="dxa" w:w="3175"/>
          </w:tcPr>
          <w:p>
            <w:pPr>
              <w:spacing w:before="60" w:after="60"/>
            </w:pPr>
            <w:r/>
          </w:p>
        </w:tc>
      </w:tr>
      <w:tr>
        <w:trPr>
          <w:cantSplit w:val="true"/>
          <w:trHeight w:val="907"/>
        </w:trPr>
        <w:tc>
          <w:tcPr>
            <w:tcW w:type="dxa" w:w="2608"/>
            <w:shd w:val="clear" w:color="auto" w:fill="F7F0FB"/>
          </w:tcPr>
          <w:p>
            <w:pPr>
              <w:spacing w:before="60" w:after="60"/>
            </w:pPr>
            <w:r>
              <w:rPr>
                <w:b/>
              </w:rPr>
              <w:t>What business measure will you report, and when?</w:t>
            </w:r>
          </w:p>
        </w:tc>
        <w:tc>
          <w:tcPr>
            <w:tcW w:type="dxa" w:w="3855"/>
            <w:shd w:val="clear" w:color="auto" w:fill="F7F0FB"/>
          </w:tcPr>
          <w:p>
            <w:pPr>
              <w:spacing w:before="60" w:after="60"/>
            </w:pPr>
            <w:r>
              <w:t>The 30-day support call rate per lead, monthly, until 30 June.</w:t>
            </w:r>
          </w:p>
        </w:tc>
        <w:tc>
          <w:tcPr>
            <w:tcW w:type="dxa" w:w="3175"/>
            <w:shd w:val="clear" w:color="auto" w:fill="F7F0FB"/>
          </w:tcPr>
          <w:p>
            <w:pPr>
              <w:spacing w:before="60" w:after="60"/>
            </w:pPr>
            <w:r/>
          </w:p>
        </w:tc>
      </w:tr>
      <w:tr>
        <w:trPr>
          <w:cantSplit w:val="true"/>
          <w:trHeight w:val="907"/>
        </w:trPr>
        <w:tc>
          <w:tcPr>
            <w:tcW w:type="dxa" w:w="2608"/>
          </w:tcPr>
          <w:p>
            <w:pPr>
              <w:spacing w:before="60" w:after="60"/>
            </w:pPr>
            <w:r>
              <w:rPr>
                <w:b/>
              </w:rPr>
              <w:t>How will you see whether each non-training fix worked?</w:t>
            </w:r>
          </w:p>
        </w:tc>
        <w:tc>
          <w:tcPr>
            <w:tcW w:type="dxa" w:w="3855"/>
          </w:tcPr>
          <w:p>
            <w:pPr>
              <w:spacing w:before="60" w:after="60"/>
            </w:pPr>
            <w:r>
              <w:t>Watch the "my app shows nothing" and "I haven't got my paperwork" call reasons after the slot booking and the app block go live.</w:t>
            </w:r>
          </w:p>
        </w:tc>
        <w:tc>
          <w:tcPr>
            <w:tcW w:type="dxa" w:w="3175"/>
          </w:tcPr>
          <w:p>
            <w:pPr>
              <w:spacing w:before="60" w:after="60"/>
            </w:pPr>
            <w:r/>
          </w:p>
        </w:tc>
      </w:tr>
      <w:tr>
        <w:trPr>
          <w:cantSplit w:val="true"/>
          <w:trHeight w:val="907"/>
        </w:trPr>
        <w:tc>
          <w:tcPr>
            <w:tcW w:type="dxa" w:w="2608"/>
            <w:shd w:val="clear" w:color="auto" w:fill="F7F0FB"/>
          </w:tcPr>
          <w:p>
            <w:pPr>
              <w:spacing w:before="60" w:after="60"/>
            </w:pPr>
            <w:r>
              <w:rPr>
                <w:b/>
              </w:rPr>
              <w:t>Who will you talk to if the measure does not move?</w:t>
            </w:r>
          </w:p>
        </w:tc>
        <w:tc>
          <w:tcPr>
            <w:tcW w:type="dxa" w:w="3855"/>
            <w:shd w:val="clear" w:color="auto" w:fill="F7F0FB"/>
          </w:tcPr>
          <w:p>
            <w:pPr>
              <w:spacing w:before="60" w:after="60"/>
            </w:pPr>
            <w:r>
              <w:t>Two leads whose call rates fell and two whose did not, to find out what is different.</w:t>
            </w:r>
          </w:p>
        </w:tc>
        <w:tc>
          <w:tcPr>
            <w:tcW w:type="dxa" w:w="3175"/>
            <w:shd w:val="clear" w:color="auto" w:fill="F7F0FB"/>
          </w:tcPr>
          <w:p>
            <w:pPr>
              <w:spacing w:before="60" w:after="60"/>
            </w:pPr>
            <w:r/>
          </w:p>
        </w:tc>
      </w:tr>
    </w:tbl>
    <w:p>
      <w:pPr>
        <w:spacing w:before="160"/>
      </w:pPr>
      <w:r>
        <w:rPr>
          <w:i/>
          <w:color w:val="5A5766"/>
        </w:rPr>
        <w:t>Drawing on Moore, C. Action mapping: A visual approach to training design; Action mapping on one page; Action mapping workflow at a glance; and Map It: The hands-on guide to strategic training design (Montesa Press, 2017). The prompts, layout and example are Coursebox's own adaptation. This planner gives no score and does not show that a course or any fix works.</w:t>
      </w:r>
    </w:p>
    <w:sectPr w:rsidR="00FC693F" w:rsidRPr="0006063C" w:rsidSect="00034616">
      <w:headerReference w:type="default" r:id="rId9"/>
      <w:footerReference w:type="default" r:id="rId10"/>
      <w:pgSz w:w="12240" w:h="15840"/>
      <w:pgMar w:top="907" w:right="1134" w:bottom="907"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A5766"/>
        <w:sz w:val="16"/>
      </w:rPr>
      <w:t xml:space="preserve">coursebox.ai  |  free template  |  page </w:t>
    </w:r>
    <w:r>
      <w:rPr>
        <w:color w:val="5A5766"/>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216000" cy="216000"/>
          <wp:docPr id="1" name="Picture 1"/>
          <wp:cNvGraphicFramePr>
            <a:graphicFrameLocks noChangeAspect="1"/>
          </wp:cNvGraphicFramePr>
          <a:graphic>
            <a:graphicData uri="http://schemas.openxmlformats.org/drawingml/2006/picture">
              <pic:pic>
                <pic:nvPicPr>
                  <pic:cNvPr id="0" name="coursebox-logomark.png"/>
                  <pic:cNvPicPr/>
                </pic:nvPicPr>
                <pic:blipFill>
                  <a:blip r:embed="rId1"/>
                  <a:stretch>
                    <a:fillRect/>
                  </a:stretch>
                </pic:blipFill>
                <pic:spPr>
                  <a:xfrm>
                    <a:off x="0" y="0"/>
                    <a:ext cx="216000" cy="216000"/>
                  </a:xfrm>
                  <a:prstGeom prst="rect"/>
                </pic:spPr>
              </pic:pic>
            </a:graphicData>
          </a:graphic>
        </wp:inline>
      </w:drawing>
    </w:r>
    <w:r>
      <w:rPr>
        <w:b/>
        <w:color w:val="5D008F"/>
        <w:sz w:val="22"/>
      </w:rPr>
      <w:t xml:space="preserve">  Coursebox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A162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