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Gagné's Nine Events Lesson Plan</w:t>
      </w:r>
    </w:p>
    <w:p>
      <w:r>
        <w:rPr>
          <w:color w:val="5A5766"/>
          <w:sz w:val="22"/>
        </w:rPr>
        <w:t>Plan nine events using a hypothetical supervised practice session with a training AED and manikin. Not a certification course.</w:t>
      </w:r>
    </w:p>
    <w:p>
      <w:r>
        <w:rPr>
          <w:i/>
          <w:color w:val="5A5766"/>
          <w:sz w:val="18"/>
        </w:rPr>
        <w:t>From the Coursebox blog: coursebox.ai/blog/gagne-instructional-design-model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Lesson details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2835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Item</w:t>
            </w:r>
          </w:p>
        </w:tc>
        <w:tc>
          <w:tcPr>
            <w:tcW w:type="dxa" w:w="680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lesson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Lesson and length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Using an automated external defibrillator (AED), 45 minutes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Learners</w:t>
            </w:r>
          </w:p>
        </w:tc>
        <w:tc>
          <w:tcPr>
            <w:tcW w:type="dxa" w:w="6803"/>
            <w:shd w:val="clear" w:color="auto" w:fill="F7F0FB"/>
          </w:tcPr>
          <w:p>
            <w:pPr>
              <w:spacing w:before="60" w:after="60"/>
            </w:pPr>
            <w:r>
              <w:t>Office first-aid officers, most with a current CPR certificate</w:t>
            </w:r>
          </w:p>
        </w:tc>
      </w:tr>
      <w:tr>
        <w:trPr>
          <w:cantSplit w:val="true"/>
          <w:trHeight w:val="567"/>
        </w:trPr>
        <w:tc>
          <w:tcPr>
            <w:tcW w:type="dxa" w:w="2835"/>
          </w:tcPr>
          <w:p>
            <w:pPr>
              <w:spacing w:before="60" w:after="60"/>
            </w:pPr>
            <w:r>
              <w:rPr>
                <w:b/>
              </w:rPr>
              <w:t>Type of outcome</w:t>
            </w:r>
          </w:p>
        </w:tc>
        <w:tc>
          <w:tcPr>
            <w:tcW w:type="dxa" w:w="6803"/>
          </w:tcPr>
          <w:p>
            <w:pPr>
              <w:spacing w:before="60" w:after="60"/>
            </w:pPr>
            <w:r>
              <w:t>Motor skill and procedure, with some decisions</w:t>
            </w:r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The nine events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15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Event</w:t>
            </w:r>
          </w:p>
        </w:tc>
        <w:tc>
          <w:tcPr>
            <w:tcW w:type="dxa" w:w="238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you will do</w:t>
            </w:r>
          </w:p>
        </w:tc>
        <w:tc>
          <w:tcPr>
            <w:tcW w:type="dxa" w:w="3742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AED example</w:t>
            </w:r>
          </w:p>
        </w:tc>
        <w:tc>
          <w:tcPr>
            <w:tcW w:type="dxa" w:w="1361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Minutes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1. Gain attention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Use an approved simulated emergency prompt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2. Inform learners of the objective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Use a training AED within the trainer-approved BLS sequence, including pad placement, prompts and shock safety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3. Stimulate recall of prior learning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Recall the current BLS response and where AED use fits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4. Present the content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Qualified trainer demonstrates the training AED within current BLS guidance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8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5. Provide learning guidance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Pad placement diagram; tip: the AED tells you what to do next, so listen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4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6. Elicit performance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Each learner runs the sequence on a training AED and manikin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12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7. Provide feedback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Trainer checks placement, prompts and clear timing during analysis and simulated shock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5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8. Assess performance</w:t>
            </w:r>
          </w:p>
        </w:tc>
        <w:tc>
          <w:tcPr>
            <w:tcW w:type="dxa" w:w="2381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3742"/>
            <w:shd w:val="clear" w:color="auto" w:fill="F7F0FB"/>
          </w:tcPr>
          <w:p>
            <w:pPr>
              <w:spacing w:before="60" w:after="60"/>
            </w:pPr>
            <w:r>
              <w:t>Independent simulation against the qualified trainer’s complete current BLS checklist</w:t>
            </w:r>
          </w:p>
        </w:tc>
        <w:tc>
          <w:tcPr>
            <w:tcW w:type="dxa" w:w="1361"/>
            <w:shd w:val="clear" w:color="auto" w:fill="F7F0FB"/>
          </w:tcPr>
          <w:p>
            <w:pPr>
              <w:spacing w:before="60" w:after="60"/>
            </w:pPr>
            <w:r>
              <w:t>7</w:t>
            </w:r>
          </w:p>
        </w:tc>
      </w:tr>
      <w:tr>
        <w:trPr>
          <w:cantSplit w:val="true"/>
          <w:trHeight w:val="737"/>
        </w:trPr>
        <w:tc>
          <w:tcPr>
            <w:tcW w:type="dxa" w:w="2154"/>
          </w:tcPr>
          <w:p>
            <w:pPr>
              <w:spacing w:before="60" w:after="60"/>
            </w:pPr>
            <w:r>
              <w:rPr>
                <w:b/>
              </w:rPr>
              <w:t>9. Enhance retention and transfer</w:t>
            </w:r>
          </w:p>
        </w:tc>
        <w:tc>
          <w:tcPr>
            <w:tcW w:type="dxa" w:w="2381"/>
          </w:tcPr>
          <w:p>
            <w:pPr>
              <w:spacing w:before="60" w:after="60"/>
            </w:pPr>
            <w:r/>
          </w:p>
        </w:tc>
        <w:tc>
          <w:tcPr>
            <w:tcW w:type="dxa" w:w="3742"/>
          </w:tcPr>
          <w:p>
            <w:pPr>
              <w:spacing w:before="60" w:after="60"/>
            </w:pPr>
            <w:r>
              <w:t>Locate the office AED; agree a refresher schedule with the trainer</w:t>
            </w:r>
          </w:p>
        </w:tc>
        <w:tc>
          <w:tcPr>
            <w:tcW w:type="dxa" w:w="1361"/>
          </w:tcPr>
          <w:p>
            <w:pPr>
              <w:spacing w:before="60" w:after="60"/>
            </w:pPr>
            <w:r>
              <w:t>3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