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ARCS Audience Analysis Sheet</w:t>
      </w:r>
    </w:p>
    <w:p>
      <w:r>
        <w:rPr>
          <w:color w:val="5A5766"/>
          <w:sz w:val="22"/>
        </w:rPr>
        <w:t>Rate your learners on each ARCS-V category from too low to too high, note what you see, and choose tactics that fit. Motivation can be too high as well as too low.</w:t>
      </w:r>
    </w:p>
    <w:p>
      <w:r>
        <w:rPr>
          <w:i/>
          <w:color w:val="5A5766"/>
          <w:sz w:val="18"/>
        </w:rPr>
        <w:t>From the Coursebox blog: coursebox.ai/blog/arcs-model-instructional-design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sheet</w:t>
      </w:r>
    </w:p>
    <w:p>
      <w:pPr>
        <w:pStyle w:val="ListBullet"/>
      </w:pPr>
      <w:r>
        <w:t>Rate each category for the group as a whole: too low, about right, or too high.</w:t>
      </w:r>
    </w:p>
    <w:p>
      <w:pPr>
        <w:pStyle w:val="ListBullet"/>
      </w:pPr>
      <w:r>
        <w:t>Write down the signs you saw or heard. A rating with no evidence is a guess.</w:t>
      </w:r>
    </w:p>
    <w:p>
      <w:pPr>
        <w:pStyle w:val="ListBullet"/>
      </w:pPr>
      <w:r>
        <w:t>Too high is a problem too: when a course decides a promotion or a job, anxiety can get in the way.</w:t>
      </w:r>
    </w:p>
    <w:p>
      <w:pPr>
        <w:pStyle w:val="ListBullet"/>
      </w:pPr>
      <w:r>
        <w:t>Pick one or two tactics per gap, and none where the rating is about right.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1. Rate your learners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Category</w:t>
            </w:r>
          </w:p>
        </w:tc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Signs it is too low</w:t>
            </w:r>
          </w:p>
        </w:tc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Signs it is too high</w:t>
            </w:r>
          </w:p>
        </w:tc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rating and evidence</w:t>
            </w:r>
          </w:p>
        </w:tc>
      </w:tr>
      <w:tr>
        <w:trPr>
          <w:cantSplit w:val="true"/>
          <w:trHeight w:val="907"/>
        </w:trPr>
        <w:tc>
          <w:tcPr>
            <w:tcW w:type="dxa" w:w="2493"/>
          </w:tcPr>
          <w:p>
            <w:pPr>
              <w:spacing w:before="60" w:after="60"/>
            </w:pPr>
            <w:r>
              <w:rPr>
                <w:b/>
              </w:rPr>
              <w:t>Attention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>
              <w:t>Clicking through, multitasking, "I've done this before"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>
              <w:t>Distracted by novelty, chasing the interesting bits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Relevance</w:t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t>"This isn't my job", examples from another role</w:t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t>Anxious because the course decides a promotion or job</w:t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2493"/>
          </w:tcPr>
          <w:p>
            <w:pPr>
              <w:spacing w:before="60" w:after="60"/>
            </w:pPr>
            <w:r>
              <w:rPr>
                <w:b/>
              </w:rPr>
              <w:t>Confidence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>
              <w:t>"I'll never get this", avoiding practice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>
              <w:t>Skipping practice, overestimating what they know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Satisfaction</w:t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t>Nothing to use afterwards, unfair or surprising tests</w:t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t>Only working for the badge or the certificate</w:t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2493"/>
          </w:tcPr>
          <w:p>
            <w:pPr>
              <w:spacing w:before="60" w:after="60"/>
            </w:pPr>
            <w:r>
              <w:rPr>
                <w:b/>
              </w:rPr>
              <w:t>Volition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>
              <w:t>Starting well, then stalling in long programmes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>
              <w:t>Rarely a problem; watch for burnout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2. Tactics for workplace training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332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Category</w:t>
            </w:r>
          </w:p>
        </w:tc>
        <w:tc>
          <w:tcPr>
            <w:tcW w:type="dxa" w:w="332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Tactics that work at work</w:t>
            </w:r>
          </w:p>
        </w:tc>
        <w:tc>
          <w:tcPr>
            <w:tcW w:type="dxa" w:w="332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tactics</w:t>
            </w:r>
          </w:p>
        </w:tc>
      </w:tr>
      <w:tr>
        <w:trPr>
          <w:cantSplit w:val="true"/>
          <w:trHeight w:val="907"/>
        </w:trPr>
        <w:tc>
          <w:tcPr>
            <w:tcW w:type="dxa" w:w="3324"/>
          </w:tcPr>
          <w:p>
            <w:pPr>
              <w:spacing w:before="60" w:after="60"/>
            </w:pPr>
            <w:r>
              <w:rPr>
                <w:b/>
              </w:rPr>
              <w:t>Attention</w:t>
            </w:r>
          </w:p>
        </w:tc>
        <w:tc>
          <w:tcPr>
            <w:tcW w:type="dxa" w:w="3324"/>
          </w:tcPr>
          <w:p>
            <w:pPr>
              <w:spacing w:before="60" w:after="60"/>
            </w:pPr>
            <w:r>
              <w:t>Open on a real incident or question; vary formats; keep screens short</w:t>
            </w:r>
          </w:p>
        </w:tc>
        <w:tc>
          <w:tcPr>
            <w:tcW w:type="dxa" w:w="332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Relevance</w:t>
            </w:r>
          </w:p>
        </w:tc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>
              <w:t>Use examples from the learner's own role; name the part of the job each lesson protects</w:t>
            </w:r>
          </w:p>
        </w:tc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3324"/>
          </w:tcPr>
          <w:p>
            <w:pPr>
              <w:spacing w:before="60" w:after="60"/>
            </w:pPr>
            <w:r>
              <w:rPr>
                <w:b/>
              </w:rPr>
              <w:t>Confidence</w:t>
            </w:r>
          </w:p>
        </w:tc>
        <w:tc>
          <w:tcPr>
            <w:tcW w:type="dxa" w:w="3324"/>
          </w:tcPr>
          <w:p>
            <w:pPr>
              <w:spacing w:before="60" w:after="60"/>
            </w:pPr>
            <w:r>
              <w:t>State the standard up front; a pre-check; practice with feedback before the final check</w:t>
            </w:r>
          </w:p>
        </w:tc>
        <w:tc>
          <w:tcPr>
            <w:tcW w:type="dxa" w:w="332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Satisfaction</w:t>
            </w:r>
          </w:p>
        </w:tc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>
              <w:t>A job aid they use the same day; tests that match what was taught</w:t>
            </w:r>
          </w:p>
        </w:tc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3324"/>
          </w:tcPr>
          <w:p>
            <w:pPr>
              <w:spacing w:before="60" w:after="60"/>
            </w:pPr>
            <w:r>
              <w:rPr>
                <w:b/>
              </w:rPr>
              <w:t>Volition</w:t>
            </w:r>
          </w:p>
        </w:tc>
        <w:tc>
          <w:tcPr>
            <w:tcW w:type="dxa" w:w="3324"/>
          </w:tcPr>
          <w:p>
            <w:pPr>
              <w:spacing w:before="60" w:after="60"/>
            </w:pPr>
            <w:r>
              <w:t>Concrete goals per week; reminders from the manager; a visible progress tracker</w:t>
            </w:r>
          </w:p>
        </w:tc>
        <w:tc>
          <w:tcPr>
            <w:tcW w:type="dxa" w:w="3324"/>
          </w:tcPr>
          <w:p>
            <w:pPr>
              <w:spacing w:before="60" w:after="60"/>
            </w:pPr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