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B9614D" w:rsidRDefault="00BC2EAD" w:rsidP="00C21CF1">
      <w:pPr>
        <w:rPr>
          <w:rFonts w:ascii="Arial" w:hAnsi="Arial" w:cs="Arial"/>
          <w:b/>
          <w:sz w:val="48"/>
          <w:szCs w:val="48"/>
        </w:rPr>
      </w:pPr>
      <w:r w:rsidRPr="00BC2EAD">
        <w:rPr>
          <w:rFonts w:ascii="Arial" w:hAnsi="Arial" w:cs="Arial"/>
          <w:b/>
          <w:sz w:val="48"/>
          <w:szCs w:val="48"/>
        </w:rPr>
        <w:t>ASA Ex-01</w:t>
      </w:r>
    </w:p>
    <w:p w:rsidR="003359EA" w:rsidRDefault="003359EA"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D0668B" w:rsidRDefault="00D0668B"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430"/>
        <w:gridCol w:w="2515"/>
      </w:tblGrid>
      <w:tr w:rsidR="00D0668B" w:rsidTr="00D0668B">
        <w:trPr>
          <w:trHeight w:val="504"/>
        </w:trPr>
        <w:tc>
          <w:tcPr>
            <w:tcW w:w="3685" w:type="dxa"/>
          </w:tcPr>
          <w:p w:rsidR="00D0668B" w:rsidRPr="00D0668B" w:rsidRDefault="00D0668B" w:rsidP="00C21CF1">
            <w:pPr>
              <w:rPr>
                <w:rFonts w:ascii="Arial" w:hAnsi="Arial" w:cs="Arial"/>
              </w:rPr>
            </w:pPr>
            <w:r w:rsidRPr="00D0668B">
              <w:rPr>
                <w:rFonts w:ascii="Arial" w:hAnsi="Arial" w:cs="Arial"/>
              </w:rPr>
              <w:t>General</w:t>
            </w:r>
          </w:p>
        </w:tc>
        <w:tc>
          <w:tcPr>
            <w:tcW w:w="2430" w:type="dxa"/>
          </w:tcPr>
          <w:p w:rsidR="00D0668B" w:rsidRDefault="00D0668B" w:rsidP="00C21CF1">
            <w:pPr>
              <w:rPr>
                <w:rFonts w:ascii="Arial" w:hAnsi="Arial" w:cs="Arial"/>
                <w:b/>
                <w:sz w:val="24"/>
                <w:szCs w:val="24"/>
              </w:rPr>
            </w:pPr>
          </w:p>
        </w:tc>
        <w:tc>
          <w:tcPr>
            <w:tcW w:w="2515" w:type="dxa"/>
          </w:tcPr>
          <w:p w:rsidR="00D0668B" w:rsidRDefault="00D0668B" w:rsidP="00C21CF1">
            <w:pPr>
              <w:rPr>
                <w:rFonts w:ascii="Arial" w:hAnsi="Arial" w:cs="Arial"/>
                <w:b/>
                <w:sz w:val="24"/>
                <w:szCs w:val="24"/>
              </w:rPr>
            </w:pPr>
          </w:p>
        </w:tc>
      </w:tr>
      <w:tr w:rsidR="00D0668B" w:rsidTr="00D0668B">
        <w:trPr>
          <w:trHeight w:val="504"/>
        </w:trPr>
        <w:tc>
          <w:tcPr>
            <w:tcW w:w="3685" w:type="dxa"/>
          </w:tcPr>
          <w:p w:rsidR="00D0668B" w:rsidRPr="00D0668B" w:rsidRDefault="00D0668B" w:rsidP="00C21CF1">
            <w:pPr>
              <w:rPr>
                <w:rFonts w:ascii="Arial" w:hAnsi="Arial" w:cs="Arial"/>
              </w:rPr>
            </w:pPr>
            <w:r w:rsidRPr="00D0668B">
              <w:rPr>
                <w:rFonts w:ascii="Arial" w:hAnsi="Arial" w:cs="Arial"/>
              </w:rPr>
              <w:t>Material Status</w:t>
            </w:r>
          </w:p>
        </w:tc>
        <w:tc>
          <w:tcPr>
            <w:tcW w:w="2430" w:type="dxa"/>
          </w:tcPr>
          <w:p w:rsidR="00D0668B" w:rsidRPr="00D0668B" w:rsidRDefault="00D0668B" w:rsidP="00C21CF1">
            <w:pPr>
              <w:rPr>
                <w:rFonts w:ascii="Arial" w:hAnsi="Arial" w:cs="Arial"/>
              </w:rPr>
            </w:pPr>
            <w:r w:rsidRPr="00D0668B">
              <w:rPr>
                <w:rFonts w:ascii="Arial" w:hAnsi="Arial" w:cs="Arial"/>
              </w:rPr>
              <w:t>Commercial: Active</w:t>
            </w:r>
          </w:p>
        </w:tc>
        <w:tc>
          <w:tcPr>
            <w:tcW w:w="2515" w:type="dxa"/>
          </w:tcPr>
          <w:p w:rsidR="00D0668B" w:rsidRPr="00D0668B" w:rsidRDefault="00D0668B" w:rsidP="00C21CF1">
            <w:pPr>
              <w:rPr>
                <w:rFonts w:ascii="Arial" w:hAnsi="Arial" w:cs="Arial"/>
              </w:rPr>
            </w:pPr>
          </w:p>
        </w:tc>
      </w:tr>
      <w:tr w:rsidR="00D0668B" w:rsidTr="00D0668B">
        <w:trPr>
          <w:trHeight w:val="504"/>
        </w:trPr>
        <w:tc>
          <w:tcPr>
            <w:tcW w:w="3685" w:type="dxa"/>
          </w:tcPr>
          <w:p w:rsidR="00D0668B" w:rsidRPr="00D0668B" w:rsidRDefault="00D0668B" w:rsidP="00C21CF1">
            <w:pPr>
              <w:rPr>
                <w:rFonts w:ascii="Arial" w:hAnsi="Arial" w:cs="Arial"/>
              </w:rPr>
            </w:pPr>
            <w:r w:rsidRPr="00D0668B">
              <w:rPr>
                <w:rFonts w:ascii="Arial" w:hAnsi="Arial" w:cs="Arial"/>
              </w:rPr>
              <w:t>Availability</w:t>
            </w:r>
          </w:p>
        </w:tc>
        <w:tc>
          <w:tcPr>
            <w:tcW w:w="2430" w:type="dxa"/>
          </w:tcPr>
          <w:p w:rsidR="00D0668B" w:rsidRPr="00D0668B" w:rsidRDefault="00D0668B" w:rsidP="00C21CF1">
            <w:pPr>
              <w:rPr>
                <w:rFonts w:ascii="Arial" w:hAnsi="Arial" w:cs="Arial"/>
              </w:rPr>
            </w:pPr>
            <w:r w:rsidRPr="00D0668B">
              <w:rPr>
                <w:rFonts w:ascii="Arial" w:hAnsi="Arial" w:cs="Arial"/>
              </w:rPr>
              <w:t>North America</w:t>
            </w:r>
          </w:p>
        </w:tc>
        <w:tc>
          <w:tcPr>
            <w:tcW w:w="2515" w:type="dxa"/>
          </w:tcPr>
          <w:p w:rsidR="00D0668B" w:rsidRPr="00D0668B" w:rsidRDefault="00D0668B" w:rsidP="00C21CF1">
            <w:pPr>
              <w:rPr>
                <w:rFonts w:ascii="Arial" w:hAnsi="Arial" w:cs="Arial"/>
              </w:rPr>
            </w:pPr>
          </w:p>
        </w:tc>
      </w:tr>
      <w:tr w:rsidR="00D0668B" w:rsidTr="00D0668B">
        <w:trPr>
          <w:trHeight w:val="504"/>
        </w:trPr>
        <w:tc>
          <w:tcPr>
            <w:tcW w:w="3685" w:type="dxa"/>
          </w:tcPr>
          <w:p w:rsidR="00D0668B" w:rsidRPr="00D0668B" w:rsidRDefault="00D0668B" w:rsidP="00C21CF1">
            <w:pPr>
              <w:rPr>
                <w:rFonts w:ascii="Arial" w:hAnsi="Arial" w:cs="Arial"/>
              </w:rPr>
            </w:pPr>
            <w:r w:rsidRPr="00D0668B">
              <w:rPr>
                <w:rFonts w:ascii="Arial" w:hAnsi="Arial" w:cs="Arial"/>
              </w:rPr>
              <w:t>Uses</w:t>
            </w:r>
          </w:p>
        </w:tc>
        <w:tc>
          <w:tcPr>
            <w:tcW w:w="2430" w:type="dxa"/>
          </w:tcPr>
          <w:p w:rsidR="00D0668B" w:rsidRPr="00D0668B" w:rsidRDefault="00D0668B" w:rsidP="00C21CF1">
            <w:pPr>
              <w:rPr>
                <w:rFonts w:ascii="Arial" w:hAnsi="Arial" w:cs="Arial"/>
              </w:rPr>
            </w:pPr>
            <w:r w:rsidRPr="00D0668B">
              <w:rPr>
                <w:rFonts w:ascii="Arial" w:hAnsi="Arial" w:cs="Arial"/>
              </w:rPr>
              <w:t>Automotive Applications</w:t>
            </w:r>
          </w:p>
        </w:tc>
        <w:tc>
          <w:tcPr>
            <w:tcW w:w="2515" w:type="dxa"/>
          </w:tcPr>
          <w:p w:rsidR="00D0668B" w:rsidRPr="00D0668B" w:rsidRDefault="00D0668B" w:rsidP="00C21CF1">
            <w:pPr>
              <w:rPr>
                <w:rFonts w:ascii="Arial" w:hAnsi="Arial" w:cs="Arial"/>
              </w:rPr>
            </w:pPr>
          </w:p>
        </w:tc>
      </w:tr>
      <w:tr w:rsidR="00D0668B" w:rsidTr="00D0668B">
        <w:trPr>
          <w:trHeight w:val="504"/>
        </w:trPr>
        <w:tc>
          <w:tcPr>
            <w:tcW w:w="3685" w:type="dxa"/>
          </w:tcPr>
          <w:p w:rsidR="00D0668B" w:rsidRPr="00D0668B" w:rsidRDefault="00D0668B" w:rsidP="00C21CF1">
            <w:pPr>
              <w:rPr>
                <w:rFonts w:ascii="Arial" w:hAnsi="Arial" w:cs="Arial"/>
              </w:rPr>
            </w:pPr>
            <w:r w:rsidRPr="00D0668B">
              <w:rPr>
                <w:rFonts w:ascii="Arial" w:hAnsi="Arial" w:cs="Arial"/>
              </w:rPr>
              <w:t>Processing Method</w:t>
            </w:r>
          </w:p>
        </w:tc>
        <w:tc>
          <w:tcPr>
            <w:tcW w:w="2430" w:type="dxa"/>
          </w:tcPr>
          <w:p w:rsidR="00D0668B" w:rsidRPr="00D0668B" w:rsidRDefault="00D0668B" w:rsidP="00C21CF1">
            <w:pPr>
              <w:rPr>
                <w:rFonts w:ascii="Arial" w:hAnsi="Arial" w:cs="Arial"/>
              </w:rPr>
            </w:pPr>
            <w:r w:rsidRPr="00D0668B">
              <w:rPr>
                <w:rFonts w:ascii="Arial" w:hAnsi="Arial" w:cs="Arial"/>
              </w:rPr>
              <w:t>Extrusion</w:t>
            </w:r>
          </w:p>
        </w:tc>
        <w:tc>
          <w:tcPr>
            <w:tcW w:w="2515" w:type="dxa"/>
          </w:tcPr>
          <w:p w:rsidR="00D0668B" w:rsidRPr="00D0668B" w:rsidRDefault="00D0668B" w:rsidP="00C21CF1">
            <w:pPr>
              <w:rPr>
                <w:rFonts w:ascii="Arial" w:hAnsi="Arial" w:cs="Arial"/>
              </w:rPr>
            </w:pPr>
          </w:p>
        </w:tc>
      </w:tr>
    </w:tbl>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D0668B">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617973" w:rsidRDefault="00043030" w:rsidP="00C21CF1">
            <w:pPr>
              <w:rPr>
                <w:rFonts w:ascii="Arial" w:hAnsi="Arial" w:cs="Arial"/>
                <w:b/>
              </w:rPr>
            </w:pPr>
            <w:r w:rsidRPr="00043030">
              <w:rPr>
                <w:rFonts w:ascii="Arial" w:hAnsi="Arial" w:cs="Arial"/>
              </w:rPr>
              <w:t>ASTM Test</w:t>
            </w:r>
          </w:p>
        </w:tc>
      </w:tr>
      <w:tr w:rsidR="00C21CF1" w:rsidRPr="00617973" w:rsidTr="00D0668B">
        <w:trPr>
          <w:trHeight w:val="506"/>
        </w:trPr>
        <w:tc>
          <w:tcPr>
            <w:tcW w:w="3685" w:type="dxa"/>
          </w:tcPr>
          <w:p w:rsidR="00C21CF1" w:rsidRPr="00617973" w:rsidRDefault="00BC2EAD" w:rsidP="00C21CF1">
            <w:pPr>
              <w:rPr>
                <w:rFonts w:ascii="Arial" w:hAnsi="Arial" w:cs="Arial"/>
              </w:rPr>
            </w:pPr>
            <w:r w:rsidRPr="00BC2EAD">
              <w:rPr>
                <w:rFonts w:ascii="Arial" w:hAnsi="Arial" w:cs="Arial"/>
              </w:rPr>
              <w:t>Melt Mass-Flow Rate (MFR) (220°C/10.0 kg)</w:t>
            </w:r>
          </w:p>
        </w:tc>
        <w:tc>
          <w:tcPr>
            <w:tcW w:w="2068" w:type="dxa"/>
          </w:tcPr>
          <w:p w:rsidR="00C21CF1" w:rsidRPr="00617973" w:rsidRDefault="00BC2EAD" w:rsidP="00BC2EAD">
            <w:pPr>
              <w:rPr>
                <w:rFonts w:ascii="Arial" w:hAnsi="Arial" w:cs="Arial"/>
              </w:rPr>
            </w:pPr>
            <w:r>
              <w:rPr>
                <w:rFonts w:ascii="Arial" w:hAnsi="Arial" w:cs="Arial"/>
              </w:rPr>
              <w:t xml:space="preserve">4.0 </w:t>
            </w:r>
            <w:r w:rsidRPr="00BC2EAD">
              <w:rPr>
                <w:rFonts w:ascii="Arial" w:hAnsi="Arial" w:cs="Arial"/>
              </w:rPr>
              <w:t>g/10 min</w:t>
            </w:r>
          </w:p>
        </w:tc>
        <w:tc>
          <w:tcPr>
            <w:tcW w:w="2877" w:type="dxa"/>
          </w:tcPr>
          <w:p w:rsidR="00C21CF1" w:rsidRPr="00617973" w:rsidRDefault="00BC2EAD" w:rsidP="00C21CF1">
            <w:pPr>
              <w:tabs>
                <w:tab w:val="left" w:pos="1800"/>
              </w:tabs>
              <w:rPr>
                <w:rFonts w:ascii="Arial" w:hAnsi="Arial" w:cs="Arial"/>
                <w:w w:val="110"/>
              </w:rPr>
            </w:pPr>
            <w:r w:rsidRPr="00BC2EAD">
              <w:rPr>
                <w:rFonts w:ascii="Arial" w:hAnsi="Arial" w:cs="Arial"/>
                <w:w w:val="110"/>
              </w:rPr>
              <w:t>ASTM D1238</w:t>
            </w:r>
            <w:r w:rsidR="00C21CF1" w:rsidRPr="00617973">
              <w:rPr>
                <w:rFonts w:ascii="Arial" w:hAnsi="Arial" w:cs="Arial"/>
                <w:w w:val="110"/>
              </w:rPr>
              <w:tab/>
            </w:r>
          </w:p>
        </w:tc>
      </w:tr>
    </w:tbl>
    <w:p w:rsidR="00C21CF1" w:rsidRPr="00617973"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D0668B">
        <w:trPr>
          <w:trHeight w:val="504"/>
        </w:trPr>
        <w:tc>
          <w:tcPr>
            <w:tcW w:w="3685" w:type="dxa"/>
          </w:tcPr>
          <w:p w:rsidR="00617973" w:rsidRPr="00617973" w:rsidRDefault="00617973" w:rsidP="00C21CF1">
            <w:pPr>
              <w:rPr>
                <w:rFonts w:ascii="Arial" w:hAnsi="Arial" w:cs="Arial"/>
              </w:rPr>
            </w:pPr>
            <w:r w:rsidRPr="00617973">
              <w:rPr>
                <w:rFonts w:ascii="Arial" w:hAnsi="Arial" w:cs="Arial"/>
              </w:rPr>
              <w:t>Mechanical Properties</w:t>
            </w:r>
          </w:p>
        </w:tc>
        <w:tc>
          <w:tcPr>
            <w:tcW w:w="2068" w:type="dxa"/>
          </w:tcPr>
          <w:p w:rsidR="00617973" w:rsidRPr="00617973" w:rsidRDefault="00617973" w:rsidP="00C21CF1">
            <w:pPr>
              <w:rPr>
                <w:rFonts w:ascii="Arial" w:hAnsi="Arial" w:cs="Arial"/>
              </w:rPr>
            </w:pPr>
          </w:p>
        </w:tc>
        <w:tc>
          <w:tcPr>
            <w:tcW w:w="2877" w:type="dxa"/>
          </w:tcPr>
          <w:p w:rsidR="00617973" w:rsidRPr="00617973" w:rsidRDefault="00617973" w:rsidP="00C21CF1">
            <w:pPr>
              <w:rPr>
                <w:rFonts w:ascii="Arial" w:hAnsi="Arial" w:cs="Arial"/>
              </w:rPr>
            </w:pPr>
          </w:p>
        </w:tc>
      </w:tr>
      <w:tr w:rsidR="00617973" w:rsidRPr="00617973" w:rsidTr="00D0668B">
        <w:trPr>
          <w:trHeight w:val="504"/>
        </w:trPr>
        <w:tc>
          <w:tcPr>
            <w:tcW w:w="3685" w:type="dxa"/>
            <w:noWrap/>
            <w:hideMark/>
          </w:tcPr>
          <w:p w:rsidR="00617973" w:rsidRPr="00617973" w:rsidRDefault="003359EA" w:rsidP="00617973">
            <w:pPr>
              <w:rPr>
                <w:rFonts w:ascii="Arial" w:hAnsi="Arial" w:cs="Arial"/>
                <w:color w:val="000000"/>
              </w:rPr>
            </w:pPr>
            <w:r w:rsidRPr="003359EA">
              <w:rPr>
                <w:rFonts w:ascii="Arial" w:hAnsi="Arial" w:cs="Arial"/>
                <w:color w:val="000000"/>
              </w:rPr>
              <w:t>Tensile Strength at Yield</w:t>
            </w:r>
          </w:p>
        </w:tc>
        <w:tc>
          <w:tcPr>
            <w:tcW w:w="2068" w:type="dxa"/>
            <w:noWrap/>
            <w:hideMark/>
          </w:tcPr>
          <w:p w:rsidR="00617973" w:rsidRPr="00617973" w:rsidRDefault="00BC2EAD" w:rsidP="00BC2EAD">
            <w:pPr>
              <w:rPr>
                <w:rFonts w:ascii="Arial" w:hAnsi="Arial" w:cs="Arial"/>
                <w:color w:val="000000"/>
              </w:rPr>
            </w:pPr>
            <w:r>
              <w:rPr>
                <w:rFonts w:ascii="Arial" w:hAnsi="Arial" w:cs="Arial"/>
                <w:color w:val="000000"/>
              </w:rPr>
              <w:t xml:space="preserve">6400 </w:t>
            </w:r>
            <w:r w:rsidRPr="00BC2EAD">
              <w:rPr>
                <w:rFonts w:ascii="Arial" w:hAnsi="Arial" w:cs="Arial"/>
                <w:color w:val="000000"/>
              </w:rPr>
              <w:t>psi</w:t>
            </w:r>
          </w:p>
        </w:tc>
        <w:tc>
          <w:tcPr>
            <w:tcW w:w="2877" w:type="dxa"/>
            <w:noWrap/>
            <w:hideMark/>
          </w:tcPr>
          <w:p w:rsidR="00617973" w:rsidRPr="00617973" w:rsidRDefault="00BC2EAD" w:rsidP="00617973">
            <w:pPr>
              <w:rPr>
                <w:rFonts w:ascii="Arial" w:hAnsi="Arial" w:cs="Arial"/>
                <w:color w:val="000000"/>
              </w:rPr>
            </w:pPr>
            <w:r w:rsidRPr="00BC2EAD">
              <w:rPr>
                <w:rFonts w:ascii="Arial" w:hAnsi="Arial" w:cs="Arial"/>
                <w:color w:val="000000"/>
              </w:rPr>
              <w:t>ASTM D638</w:t>
            </w:r>
          </w:p>
        </w:tc>
      </w:tr>
      <w:tr w:rsidR="00617973" w:rsidRPr="00617973" w:rsidTr="00D0668B">
        <w:trPr>
          <w:trHeight w:val="504"/>
        </w:trPr>
        <w:tc>
          <w:tcPr>
            <w:tcW w:w="3685" w:type="dxa"/>
            <w:noWrap/>
            <w:hideMark/>
          </w:tcPr>
          <w:p w:rsidR="00617973" w:rsidRPr="00617973" w:rsidRDefault="00617973" w:rsidP="00617973">
            <w:pPr>
              <w:rPr>
                <w:rFonts w:ascii="Arial" w:hAnsi="Arial" w:cs="Arial"/>
                <w:color w:val="000000"/>
              </w:rPr>
            </w:pPr>
            <w:r w:rsidRPr="00617973">
              <w:rPr>
                <w:rFonts w:ascii="Arial" w:hAnsi="Arial" w:cs="Arial"/>
                <w:color w:val="000000"/>
              </w:rPr>
              <w:t>Flexural Strength at Yield</w:t>
            </w:r>
          </w:p>
        </w:tc>
        <w:tc>
          <w:tcPr>
            <w:tcW w:w="2068" w:type="dxa"/>
            <w:noWrap/>
            <w:hideMark/>
          </w:tcPr>
          <w:p w:rsidR="00617973" w:rsidRPr="00617973" w:rsidRDefault="00BC2EAD" w:rsidP="00BC2EAD">
            <w:pPr>
              <w:rPr>
                <w:rFonts w:ascii="Arial" w:hAnsi="Arial" w:cs="Arial"/>
                <w:color w:val="000000"/>
              </w:rPr>
            </w:pPr>
            <w:r>
              <w:rPr>
                <w:rFonts w:ascii="Arial" w:hAnsi="Arial" w:cs="Arial"/>
                <w:color w:val="000000"/>
              </w:rPr>
              <w:t xml:space="preserve">9390 </w:t>
            </w:r>
            <w:r w:rsidRPr="00BC2EAD">
              <w:rPr>
                <w:rFonts w:ascii="Arial" w:hAnsi="Arial" w:cs="Arial"/>
                <w:color w:val="000000"/>
              </w:rPr>
              <w:t>psi</w:t>
            </w:r>
          </w:p>
        </w:tc>
        <w:tc>
          <w:tcPr>
            <w:tcW w:w="2877" w:type="dxa"/>
            <w:noWrap/>
            <w:hideMark/>
          </w:tcPr>
          <w:p w:rsidR="00617973" w:rsidRPr="00617973" w:rsidRDefault="00BC2EAD" w:rsidP="00BC2EAD">
            <w:pPr>
              <w:rPr>
                <w:rFonts w:ascii="Arial" w:hAnsi="Arial" w:cs="Arial"/>
                <w:color w:val="000000"/>
              </w:rPr>
            </w:pPr>
            <w:r w:rsidRPr="00BC2EAD">
              <w:rPr>
                <w:rFonts w:ascii="Arial" w:hAnsi="Arial" w:cs="Arial"/>
                <w:color w:val="000000"/>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D0668B">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617973" w:rsidRPr="00617973" w:rsidTr="00D0668B">
        <w:trPr>
          <w:trHeight w:val="504"/>
        </w:trPr>
        <w:tc>
          <w:tcPr>
            <w:tcW w:w="3685" w:type="dxa"/>
            <w:noWrap/>
            <w:hideMark/>
          </w:tcPr>
          <w:p w:rsidR="00617973" w:rsidRPr="00617973" w:rsidRDefault="00BC2EAD" w:rsidP="00617973">
            <w:pPr>
              <w:rPr>
                <w:rFonts w:ascii="Calibri" w:hAnsi="Calibri"/>
                <w:color w:val="000000"/>
                <w:sz w:val="22"/>
                <w:szCs w:val="22"/>
              </w:rPr>
            </w:pPr>
            <w:r w:rsidRPr="00BC2EAD">
              <w:rPr>
                <w:rFonts w:ascii="Calibri" w:hAnsi="Calibri"/>
                <w:color w:val="000000"/>
                <w:sz w:val="22"/>
                <w:szCs w:val="22"/>
              </w:rPr>
              <w:t>Notched Izod Impact</w:t>
            </w:r>
          </w:p>
        </w:tc>
        <w:tc>
          <w:tcPr>
            <w:tcW w:w="2068" w:type="dxa"/>
            <w:noWrap/>
            <w:hideMark/>
          </w:tcPr>
          <w:p w:rsidR="00617973" w:rsidRPr="00617973" w:rsidRDefault="00BC2EAD" w:rsidP="00BC2EAD">
            <w:pPr>
              <w:rPr>
                <w:rFonts w:ascii="Calibri" w:hAnsi="Calibri"/>
                <w:color w:val="000000"/>
                <w:sz w:val="22"/>
                <w:szCs w:val="22"/>
              </w:rPr>
            </w:pPr>
            <w:r>
              <w:rPr>
                <w:rFonts w:ascii="Calibri" w:hAnsi="Calibri"/>
                <w:color w:val="000000"/>
                <w:sz w:val="22"/>
                <w:szCs w:val="22"/>
              </w:rPr>
              <w:t xml:space="preserve">4.6 </w:t>
            </w:r>
            <w:proofErr w:type="spellStart"/>
            <w:r w:rsidRPr="00BC2EAD">
              <w:rPr>
                <w:rFonts w:ascii="Calibri" w:hAnsi="Calibri"/>
                <w:color w:val="000000"/>
                <w:sz w:val="22"/>
                <w:szCs w:val="22"/>
              </w:rPr>
              <w:t>ft·lb</w:t>
            </w:r>
            <w:proofErr w:type="spellEnd"/>
            <w:r w:rsidRPr="00BC2EAD">
              <w:rPr>
                <w:rFonts w:ascii="Calibri" w:hAnsi="Calibri"/>
                <w:color w:val="000000"/>
                <w:sz w:val="22"/>
                <w:szCs w:val="22"/>
              </w:rPr>
              <w:t>/in</w:t>
            </w:r>
          </w:p>
        </w:tc>
        <w:tc>
          <w:tcPr>
            <w:tcW w:w="2877" w:type="dxa"/>
            <w:noWrap/>
            <w:hideMark/>
          </w:tcPr>
          <w:p w:rsidR="00617973" w:rsidRPr="00617973" w:rsidRDefault="00BC2EAD" w:rsidP="00617973">
            <w:pPr>
              <w:rPr>
                <w:rFonts w:ascii="Calibri" w:hAnsi="Calibri"/>
                <w:color w:val="000000"/>
                <w:sz w:val="22"/>
                <w:szCs w:val="22"/>
              </w:rPr>
            </w:pPr>
            <w:r w:rsidRPr="00BC2EAD">
              <w:rPr>
                <w:rFonts w:ascii="Calibri" w:hAnsi="Calibri"/>
                <w:color w:val="000000"/>
                <w:sz w:val="22"/>
                <w:szCs w:val="22"/>
              </w:rPr>
              <w:t>ASTM D256</w:t>
            </w:r>
          </w:p>
        </w:tc>
        <w:bookmarkStart w:id="0" w:name="_GoBack"/>
        <w:bookmarkEnd w:id="0"/>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D0668B">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617973" w:rsidRPr="00617973" w:rsidTr="00D0668B">
        <w:trPr>
          <w:trHeight w:val="504"/>
        </w:trPr>
        <w:tc>
          <w:tcPr>
            <w:tcW w:w="3685" w:type="dxa"/>
            <w:noWrap/>
            <w:hideMark/>
          </w:tcPr>
          <w:p w:rsidR="00617973" w:rsidRPr="00617973" w:rsidRDefault="00BC2EAD" w:rsidP="00617973">
            <w:pPr>
              <w:rPr>
                <w:rFonts w:ascii="Calibri" w:hAnsi="Calibri"/>
                <w:color w:val="000000"/>
                <w:sz w:val="22"/>
                <w:szCs w:val="22"/>
              </w:rPr>
            </w:pPr>
            <w:proofErr w:type="spellStart"/>
            <w:r w:rsidRPr="00BC2EAD">
              <w:rPr>
                <w:rFonts w:ascii="Calibri" w:hAnsi="Calibri"/>
                <w:color w:val="000000"/>
                <w:sz w:val="22"/>
                <w:szCs w:val="22"/>
              </w:rPr>
              <w:t>Vicat</w:t>
            </w:r>
            <w:proofErr w:type="spellEnd"/>
            <w:r w:rsidRPr="00BC2EAD">
              <w:rPr>
                <w:rFonts w:ascii="Calibri" w:hAnsi="Calibri"/>
                <w:color w:val="000000"/>
                <w:sz w:val="22"/>
                <w:szCs w:val="22"/>
              </w:rPr>
              <w:t xml:space="preserve"> Softening Temperature</w:t>
            </w:r>
            <w:r w:rsidR="00617973" w:rsidRPr="00617973">
              <w:rPr>
                <w:rFonts w:ascii="Calibri" w:hAnsi="Calibri"/>
                <w:color w:val="000000"/>
                <w:sz w:val="22"/>
                <w:szCs w:val="22"/>
              </w:rPr>
              <w:t>)</w:t>
            </w:r>
          </w:p>
        </w:tc>
        <w:tc>
          <w:tcPr>
            <w:tcW w:w="2068" w:type="dxa"/>
            <w:noWrap/>
            <w:hideMark/>
          </w:tcPr>
          <w:p w:rsidR="00617973" w:rsidRPr="00617973" w:rsidRDefault="00BC2EAD" w:rsidP="00BC2EAD">
            <w:pPr>
              <w:rPr>
                <w:rFonts w:ascii="Calibri" w:hAnsi="Calibri"/>
                <w:color w:val="000000"/>
                <w:sz w:val="22"/>
                <w:szCs w:val="22"/>
              </w:rPr>
            </w:pPr>
            <w:r>
              <w:rPr>
                <w:rFonts w:ascii="Calibri" w:hAnsi="Calibri"/>
                <w:color w:val="000000"/>
                <w:sz w:val="22"/>
                <w:szCs w:val="22"/>
              </w:rPr>
              <w:t xml:space="preserve">221 </w:t>
            </w:r>
            <w:r w:rsidRPr="00BC2EAD">
              <w:rPr>
                <w:rFonts w:ascii="Calibri" w:hAnsi="Calibri"/>
                <w:color w:val="000000"/>
                <w:sz w:val="22"/>
                <w:szCs w:val="22"/>
              </w:rPr>
              <w:t>°F</w:t>
            </w:r>
          </w:p>
        </w:tc>
        <w:tc>
          <w:tcPr>
            <w:tcW w:w="2877" w:type="dxa"/>
            <w:noWrap/>
            <w:hideMark/>
          </w:tcPr>
          <w:p w:rsidR="00617973" w:rsidRPr="003359EA" w:rsidRDefault="00BC2EAD" w:rsidP="00617973">
            <w:pPr>
              <w:rPr>
                <w:rFonts w:ascii="Arial" w:hAnsi="Arial" w:cs="Arial"/>
                <w:color w:val="000000"/>
              </w:rPr>
            </w:pPr>
            <w:r w:rsidRPr="00BC2EAD">
              <w:rPr>
                <w:rFonts w:ascii="Arial" w:hAnsi="Arial" w:cs="Arial"/>
                <w:color w:val="000000"/>
              </w:rPr>
              <w:t>ASTM D1525</w:t>
            </w:r>
          </w:p>
        </w:tc>
      </w:tr>
    </w:tbl>
    <w:tbl>
      <w:tblPr>
        <w:tblW w:w="5417" w:type="pct"/>
        <w:tblCellSpacing w:w="0" w:type="dxa"/>
        <w:tblCellMar>
          <w:top w:w="15" w:type="dxa"/>
          <w:left w:w="15" w:type="dxa"/>
          <w:bottom w:w="15" w:type="dxa"/>
          <w:right w:w="15" w:type="dxa"/>
        </w:tblCellMar>
        <w:tblLook w:val="04A0" w:firstRow="1" w:lastRow="0" w:firstColumn="1" w:lastColumn="0" w:noHBand="0" w:noVBand="1"/>
      </w:tblPr>
      <w:tblGrid>
        <w:gridCol w:w="9361"/>
      </w:tblGrid>
      <w:tr w:rsidR="002F56B7" w:rsidRPr="002F56B7" w:rsidTr="002F56B7">
        <w:trPr>
          <w:trHeight w:val="504"/>
          <w:tblCellSpacing w:w="0" w:type="dxa"/>
        </w:trPr>
        <w:tc>
          <w:tcPr>
            <w:tcW w:w="0" w:type="auto"/>
            <w:vAlign w:val="center"/>
            <w:hideMark/>
          </w:tcPr>
          <w:p w:rsidR="002F56B7" w:rsidRPr="002F56B7" w:rsidRDefault="002F56B7" w:rsidP="002F56B7">
            <w:pPr>
              <w:rPr>
                <w:rFonts w:ascii="Arial" w:hAnsi="Arial" w:cs="Arial"/>
              </w:rPr>
            </w:pPr>
            <w:r w:rsidRPr="002F56B7">
              <w:rPr>
                <w:rFonts w:ascii="Arial" w:hAnsi="Arial" w:cs="Arial"/>
              </w:rPr>
              <w:t>Notes</w:t>
            </w:r>
          </w:p>
        </w:tc>
      </w:tr>
      <w:tr w:rsidR="002F56B7" w:rsidRPr="002F56B7" w:rsidTr="002F56B7">
        <w:trPr>
          <w:trHeight w:val="504"/>
          <w:tblCellSpacing w:w="0" w:type="dxa"/>
        </w:trPr>
        <w:tc>
          <w:tcPr>
            <w:tcW w:w="0" w:type="auto"/>
            <w:vAlign w:val="center"/>
            <w:hideMark/>
          </w:tcPr>
          <w:p w:rsidR="002F56B7" w:rsidRPr="002F56B7" w:rsidRDefault="002F56B7" w:rsidP="002F56B7">
            <w:pPr>
              <w:rPr>
                <w:rFonts w:ascii="Arial" w:hAnsi="Arial" w:cs="Arial"/>
              </w:rPr>
            </w:pPr>
            <w:r w:rsidRPr="002F56B7">
              <w:rPr>
                <w:rFonts w:ascii="Arial" w:hAnsi="Arial" w:cs="Arial"/>
                <w:vertAlign w:val="superscript"/>
              </w:rPr>
              <w:lastRenderedPageBreak/>
              <w:t>1</w:t>
            </w:r>
            <w:r w:rsidRPr="002F56B7">
              <w:rPr>
                <w:rFonts w:ascii="Arial" w:hAnsi="Arial" w:cs="Arial"/>
              </w:rPr>
              <w:t>These links provide you with access to supplier literature. We work hard to keep them up to date; however you may find the most current literature from the supplier</w:t>
            </w:r>
          </w:p>
        </w:tc>
      </w:tr>
    </w:tbl>
    <w:p w:rsidR="00617973" w:rsidRDefault="00617973" w:rsidP="00C21CF1">
      <w:pPr>
        <w:rPr>
          <w:rFonts w:ascii="Arial" w:hAnsi="Arial" w:cs="Arial"/>
          <w:b/>
        </w:rPr>
      </w:pPr>
    </w:p>
    <w:sectPr w:rsidR="00617973"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090" w:rsidRDefault="004C4090" w:rsidP="00166DA5">
      <w:r>
        <w:separator/>
      </w:r>
    </w:p>
  </w:endnote>
  <w:endnote w:type="continuationSeparator" w:id="0">
    <w:p w:rsidR="004C4090" w:rsidRDefault="004C4090"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090" w:rsidRDefault="004C4090" w:rsidP="00166DA5">
      <w:r>
        <w:separator/>
      </w:r>
    </w:p>
  </w:footnote>
  <w:footnote w:type="continuationSeparator" w:id="0">
    <w:p w:rsidR="004C4090" w:rsidRDefault="004C4090"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4C409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16AEB"/>
    <w:rsid w:val="000214C2"/>
    <w:rsid w:val="00023501"/>
    <w:rsid w:val="00023880"/>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E3D78"/>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2F56B7"/>
    <w:rsid w:val="00320448"/>
    <w:rsid w:val="00330E24"/>
    <w:rsid w:val="00335949"/>
    <w:rsid w:val="003359EA"/>
    <w:rsid w:val="00335C37"/>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4B4"/>
    <w:rsid w:val="004A700D"/>
    <w:rsid w:val="004C4090"/>
    <w:rsid w:val="004C4780"/>
    <w:rsid w:val="004C57E2"/>
    <w:rsid w:val="004C7F17"/>
    <w:rsid w:val="004D368E"/>
    <w:rsid w:val="004D55F3"/>
    <w:rsid w:val="004E333E"/>
    <w:rsid w:val="00520F21"/>
    <w:rsid w:val="005239A0"/>
    <w:rsid w:val="00532A8D"/>
    <w:rsid w:val="0053425D"/>
    <w:rsid w:val="00543F72"/>
    <w:rsid w:val="00566C25"/>
    <w:rsid w:val="00570C8D"/>
    <w:rsid w:val="00575A1A"/>
    <w:rsid w:val="00585063"/>
    <w:rsid w:val="00585CEE"/>
    <w:rsid w:val="0059191B"/>
    <w:rsid w:val="00596A89"/>
    <w:rsid w:val="005A3893"/>
    <w:rsid w:val="005B3EBF"/>
    <w:rsid w:val="005C7ECD"/>
    <w:rsid w:val="005D3D0A"/>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D585F"/>
    <w:rsid w:val="007E37B7"/>
    <w:rsid w:val="007E3C57"/>
    <w:rsid w:val="007F3F27"/>
    <w:rsid w:val="00800D40"/>
    <w:rsid w:val="00802BAB"/>
    <w:rsid w:val="00805291"/>
    <w:rsid w:val="00805356"/>
    <w:rsid w:val="00813F5D"/>
    <w:rsid w:val="00817439"/>
    <w:rsid w:val="008474D8"/>
    <w:rsid w:val="0086294E"/>
    <w:rsid w:val="008668BD"/>
    <w:rsid w:val="008701B0"/>
    <w:rsid w:val="00872A2A"/>
    <w:rsid w:val="008A194E"/>
    <w:rsid w:val="008D0828"/>
    <w:rsid w:val="008D168A"/>
    <w:rsid w:val="008D3B65"/>
    <w:rsid w:val="008D7430"/>
    <w:rsid w:val="008F1A3D"/>
    <w:rsid w:val="008F5BB9"/>
    <w:rsid w:val="008F5C1F"/>
    <w:rsid w:val="009117D3"/>
    <w:rsid w:val="00914A70"/>
    <w:rsid w:val="00932985"/>
    <w:rsid w:val="00933132"/>
    <w:rsid w:val="00942B11"/>
    <w:rsid w:val="00953E96"/>
    <w:rsid w:val="00956394"/>
    <w:rsid w:val="00966BD4"/>
    <w:rsid w:val="00967681"/>
    <w:rsid w:val="00975ADF"/>
    <w:rsid w:val="009811C9"/>
    <w:rsid w:val="00986701"/>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C2EAD"/>
    <w:rsid w:val="00BD039D"/>
    <w:rsid w:val="00BD4180"/>
    <w:rsid w:val="00C05CB9"/>
    <w:rsid w:val="00C1091C"/>
    <w:rsid w:val="00C21CF1"/>
    <w:rsid w:val="00C2420F"/>
    <w:rsid w:val="00C34614"/>
    <w:rsid w:val="00C5361C"/>
    <w:rsid w:val="00C53E24"/>
    <w:rsid w:val="00C55DFA"/>
    <w:rsid w:val="00C7075F"/>
    <w:rsid w:val="00C82B03"/>
    <w:rsid w:val="00C8362F"/>
    <w:rsid w:val="00C85851"/>
    <w:rsid w:val="00C9257D"/>
    <w:rsid w:val="00C93821"/>
    <w:rsid w:val="00C94AD6"/>
    <w:rsid w:val="00CC3788"/>
    <w:rsid w:val="00CC7D28"/>
    <w:rsid w:val="00CE2789"/>
    <w:rsid w:val="00CE4AA1"/>
    <w:rsid w:val="00D057FD"/>
    <w:rsid w:val="00D0668B"/>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669213265">
      <w:bodyDiv w:val="1"/>
      <w:marLeft w:val="0"/>
      <w:marRight w:val="0"/>
      <w:marTop w:val="0"/>
      <w:marBottom w:val="0"/>
      <w:divBdr>
        <w:top w:val="none" w:sz="0" w:space="0" w:color="auto"/>
        <w:left w:val="none" w:sz="0" w:space="0" w:color="auto"/>
        <w:bottom w:val="none" w:sz="0" w:space="0" w:color="auto"/>
        <w:right w:val="none" w:sz="0" w:space="0" w:color="auto"/>
      </w:divBdr>
      <w:divsChild>
        <w:div w:id="1175146359">
          <w:marLeft w:val="0"/>
          <w:marRight w:val="0"/>
          <w:marTop w:val="0"/>
          <w:marBottom w:val="0"/>
          <w:divBdr>
            <w:top w:val="none" w:sz="0" w:space="0" w:color="auto"/>
            <w:left w:val="none" w:sz="0" w:space="0" w:color="auto"/>
            <w:bottom w:val="none" w:sz="0" w:space="0" w:color="auto"/>
            <w:right w:val="none" w:sz="0" w:space="0" w:color="auto"/>
          </w:divBdr>
          <w:divsChild>
            <w:div w:id="1209150565">
              <w:marLeft w:val="0"/>
              <w:marRight w:val="0"/>
              <w:marTop w:val="0"/>
              <w:marBottom w:val="0"/>
              <w:divBdr>
                <w:top w:val="none" w:sz="0" w:space="0" w:color="auto"/>
                <w:left w:val="none" w:sz="0" w:space="0" w:color="auto"/>
                <w:bottom w:val="none" w:sz="0" w:space="0" w:color="auto"/>
                <w:right w:val="none" w:sz="0" w:space="0" w:color="auto"/>
              </w:divBdr>
              <w:divsChild>
                <w:div w:id="635258029">
                  <w:marLeft w:val="0"/>
                  <w:marRight w:val="0"/>
                  <w:marTop w:val="0"/>
                  <w:marBottom w:val="0"/>
                  <w:divBdr>
                    <w:top w:val="none" w:sz="0" w:space="0" w:color="auto"/>
                    <w:left w:val="none" w:sz="0" w:space="0" w:color="auto"/>
                    <w:bottom w:val="none" w:sz="0" w:space="0" w:color="auto"/>
                    <w:right w:val="none" w:sz="0" w:space="0" w:color="auto"/>
                  </w:divBdr>
                  <w:divsChild>
                    <w:div w:id="794177790">
                      <w:marLeft w:val="0"/>
                      <w:marRight w:val="0"/>
                      <w:marTop w:val="0"/>
                      <w:marBottom w:val="0"/>
                      <w:divBdr>
                        <w:top w:val="none" w:sz="0" w:space="0" w:color="auto"/>
                        <w:left w:val="none" w:sz="0" w:space="0" w:color="auto"/>
                        <w:bottom w:val="none" w:sz="0" w:space="0" w:color="auto"/>
                        <w:right w:val="none" w:sz="0" w:space="0" w:color="auto"/>
                      </w:divBdr>
                      <w:divsChild>
                        <w:div w:id="540243837">
                          <w:marLeft w:val="0"/>
                          <w:marRight w:val="0"/>
                          <w:marTop w:val="0"/>
                          <w:marBottom w:val="0"/>
                          <w:divBdr>
                            <w:top w:val="none" w:sz="0" w:space="0" w:color="auto"/>
                            <w:left w:val="none" w:sz="0" w:space="0" w:color="auto"/>
                            <w:bottom w:val="none" w:sz="0" w:space="0" w:color="auto"/>
                            <w:right w:val="none" w:sz="0" w:space="0" w:color="auto"/>
                          </w:divBdr>
                          <w:divsChild>
                            <w:div w:id="1241713085">
                              <w:marLeft w:val="0"/>
                              <w:marRight w:val="0"/>
                              <w:marTop w:val="0"/>
                              <w:marBottom w:val="0"/>
                              <w:divBdr>
                                <w:top w:val="none" w:sz="0" w:space="0" w:color="auto"/>
                                <w:left w:val="none" w:sz="0" w:space="0" w:color="auto"/>
                                <w:bottom w:val="none" w:sz="0" w:space="0" w:color="auto"/>
                                <w:right w:val="none" w:sz="0" w:space="0" w:color="auto"/>
                              </w:divBdr>
                              <w:divsChild>
                                <w:div w:id="6249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7893-3EEC-4BBA-B32D-29123E88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5</cp:revision>
  <cp:lastPrinted>2015-09-16T21:43:00Z</cp:lastPrinted>
  <dcterms:created xsi:type="dcterms:W3CDTF">2015-09-17T13:58:00Z</dcterms:created>
  <dcterms:modified xsi:type="dcterms:W3CDTF">2015-09-23T15:15:00Z</dcterms:modified>
</cp:coreProperties>
</file>