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97" w:type="dxa"/>
        <w:tblInd w:w="-781" w:type="dxa"/>
        <w:tblLayout w:type="fixed"/>
        <w:tblCellMar>
          <w:left w:w="70" w:type="dxa"/>
          <w:right w:w="70" w:type="dxa"/>
        </w:tblCellMar>
        <w:tblLook w:val="0000" w:firstRow="0" w:lastRow="0" w:firstColumn="0" w:lastColumn="0" w:noHBand="0" w:noVBand="0"/>
      </w:tblPr>
      <w:tblGrid>
        <w:gridCol w:w="4820"/>
        <w:gridCol w:w="1418"/>
        <w:gridCol w:w="1559"/>
      </w:tblGrid>
      <w:tr w:rsidR="000723B6" w14:paraId="47FA36A7" w14:textId="77777777" w:rsidTr="00E02308">
        <w:trPr>
          <w:cantSplit/>
        </w:trPr>
        <w:tc>
          <w:tcPr>
            <w:tcW w:w="4820" w:type="dxa"/>
            <w:vMerge w:val="restart"/>
          </w:tcPr>
          <w:p w14:paraId="4179351B" w14:textId="77777777" w:rsidR="000723B6" w:rsidRDefault="008C7E3A" w:rsidP="00805B23">
            <w:pPr>
              <w:tabs>
                <w:tab w:val="left" w:pos="781"/>
              </w:tabs>
              <w:rPr>
                <w:rFonts w:ascii="Arial" w:hAnsi="Arial"/>
                <w:b/>
                <w:sz w:val="16"/>
              </w:rPr>
            </w:pPr>
            <w:r>
              <w:rPr>
                <w:rFonts w:ascii="Arial" w:hAnsi="Arial"/>
                <w:b/>
                <w:sz w:val="16"/>
              </w:rPr>
              <w:br/>
            </w:r>
            <w:r w:rsidR="00805B23">
              <w:rPr>
                <w:rFonts w:ascii="Arial" w:hAnsi="Arial"/>
                <w:b/>
                <w:sz w:val="16"/>
              </w:rPr>
              <w:t xml:space="preserve">                 </w:t>
            </w:r>
            <w:r w:rsidR="00805B23">
              <w:rPr>
                <w:noProof/>
              </w:rPr>
              <w:drawing>
                <wp:inline distT="0" distB="0" distL="0" distR="0" wp14:anchorId="7B585937" wp14:editId="076382ED">
                  <wp:extent cx="1098036" cy="553792"/>
                  <wp:effectExtent l="0" t="0" r="6985" b="0"/>
                  <wp:docPr id="19" name="Bilde 1" descr="ks_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 descr="ks_hov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552450"/>
                          </a:xfrm>
                          <a:prstGeom prst="rect">
                            <a:avLst/>
                          </a:prstGeom>
                          <a:noFill/>
                          <a:ln>
                            <a:noFill/>
                          </a:ln>
                        </pic:spPr>
                      </pic:pic>
                    </a:graphicData>
                  </a:graphic>
                </wp:inline>
              </w:drawing>
            </w:r>
            <w:r w:rsidR="00805B23">
              <w:rPr>
                <w:rFonts w:ascii="Arial" w:hAnsi="Arial"/>
                <w:b/>
                <w:sz w:val="16"/>
              </w:rPr>
              <w:t xml:space="preserve"> </w:t>
            </w:r>
          </w:p>
        </w:tc>
        <w:tc>
          <w:tcPr>
            <w:tcW w:w="1418" w:type="dxa"/>
          </w:tcPr>
          <w:p w14:paraId="61F734BB" w14:textId="77777777" w:rsidR="000723B6" w:rsidRDefault="000723B6">
            <w:pPr>
              <w:rPr>
                <w:rFonts w:ascii="Arial" w:hAnsi="Arial"/>
                <w:b/>
                <w:sz w:val="16"/>
              </w:rPr>
            </w:pPr>
          </w:p>
        </w:tc>
        <w:tc>
          <w:tcPr>
            <w:tcW w:w="1559" w:type="dxa"/>
          </w:tcPr>
          <w:p w14:paraId="63AEE7A9" w14:textId="77777777" w:rsidR="000723B6" w:rsidRDefault="000723B6">
            <w:pPr>
              <w:rPr>
                <w:rFonts w:ascii="Arial" w:hAnsi="Arial"/>
                <w:sz w:val="14"/>
              </w:rPr>
            </w:pPr>
          </w:p>
        </w:tc>
      </w:tr>
      <w:tr w:rsidR="000723B6" w:rsidRPr="0039370F" w14:paraId="4BD7CB7E" w14:textId="77777777" w:rsidTr="00E02308">
        <w:trPr>
          <w:cantSplit/>
        </w:trPr>
        <w:tc>
          <w:tcPr>
            <w:tcW w:w="4820" w:type="dxa"/>
            <w:vMerge/>
          </w:tcPr>
          <w:p w14:paraId="650F92F6" w14:textId="77777777" w:rsidR="000723B6" w:rsidRPr="0039370F" w:rsidRDefault="000723B6">
            <w:pPr>
              <w:rPr>
                <w:rFonts w:ascii="Arial" w:hAnsi="Arial"/>
                <w:b/>
                <w:sz w:val="22"/>
                <w:szCs w:val="22"/>
              </w:rPr>
            </w:pPr>
          </w:p>
        </w:tc>
        <w:tc>
          <w:tcPr>
            <w:tcW w:w="1418" w:type="dxa"/>
          </w:tcPr>
          <w:p w14:paraId="2185CF98" w14:textId="77777777" w:rsidR="000723B6" w:rsidRPr="0039370F" w:rsidRDefault="005911BB" w:rsidP="00B00EC1">
            <w:pPr>
              <w:rPr>
                <w:szCs w:val="18"/>
              </w:rPr>
            </w:pPr>
            <w:r w:rsidRPr="0039370F">
              <w:rPr>
                <w:b/>
                <w:bCs/>
                <w:szCs w:val="18"/>
              </w:rPr>
              <w:t>B</w:t>
            </w:r>
            <w:r w:rsidR="000723B6" w:rsidRPr="0039370F">
              <w:rPr>
                <w:szCs w:val="18"/>
              </w:rPr>
              <w:t>-rundskriv nr</w:t>
            </w:r>
            <w:r w:rsidR="00E02308" w:rsidRPr="0039370F">
              <w:rPr>
                <w:szCs w:val="18"/>
              </w:rPr>
              <w:t>.</w:t>
            </w:r>
            <w:r w:rsidR="000723B6" w:rsidRPr="0039370F">
              <w:rPr>
                <w:szCs w:val="18"/>
              </w:rPr>
              <w:t>:</w:t>
            </w:r>
          </w:p>
        </w:tc>
        <w:tc>
          <w:tcPr>
            <w:tcW w:w="1559" w:type="dxa"/>
          </w:tcPr>
          <w:p w14:paraId="2579C719" w14:textId="1CEEB41D" w:rsidR="000723B6" w:rsidRPr="0039370F" w:rsidRDefault="00D24F7E" w:rsidP="00D24F7E">
            <w:pPr>
              <w:rPr>
                <w:szCs w:val="18"/>
              </w:rPr>
            </w:pPr>
            <w:r>
              <w:rPr>
                <w:szCs w:val="18"/>
              </w:rPr>
              <w:t>B/</w:t>
            </w:r>
            <w:r w:rsidR="00EA04C6">
              <w:rPr>
                <w:szCs w:val="18"/>
              </w:rPr>
              <w:t>1-</w:t>
            </w:r>
            <w:r>
              <w:rPr>
                <w:szCs w:val="18"/>
              </w:rPr>
              <w:t>20</w:t>
            </w:r>
            <w:r w:rsidR="00EA04C6">
              <w:rPr>
                <w:szCs w:val="18"/>
              </w:rPr>
              <w:t>24</w:t>
            </w:r>
          </w:p>
        </w:tc>
      </w:tr>
      <w:tr w:rsidR="000723B6" w:rsidRPr="0039370F" w14:paraId="0AF71415" w14:textId="77777777" w:rsidTr="00E02308">
        <w:trPr>
          <w:cantSplit/>
        </w:trPr>
        <w:tc>
          <w:tcPr>
            <w:tcW w:w="4820" w:type="dxa"/>
            <w:vMerge/>
          </w:tcPr>
          <w:p w14:paraId="30A69091" w14:textId="77777777" w:rsidR="000723B6" w:rsidRPr="0039370F" w:rsidRDefault="000723B6">
            <w:pPr>
              <w:rPr>
                <w:rFonts w:ascii="Arial" w:hAnsi="Arial"/>
                <w:b/>
                <w:sz w:val="22"/>
                <w:szCs w:val="22"/>
              </w:rPr>
            </w:pPr>
          </w:p>
        </w:tc>
        <w:tc>
          <w:tcPr>
            <w:tcW w:w="1418" w:type="dxa"/>
          </w:tcPr>
          <w:p w14:paraId="0104E4D2" w14:textId="77777777" w:rsidR="000723B6" w:rsidRPr="0039370F" w:rsidRDefault="00AE5E34" w:rsidP="00AE5E34">
            <w:pPr>
              <w:rPr>
                <w:szCs w:val="18"/>
              </w:rPr>
            </w:pPr>
            <w:r>
              <w:rPr>
                <w:szCs w:val="18"/>
              </w:rPr>
              <w:t>Dokument</w:t>
            </w:r>
            <w:r w:rsidR="007F13BC">
              <w:rPr>
                <w:szCs w:val="18"/>
              </w:rPr>
              <w:t xml:space="preserve"> </w:t>
            </w:r>
            <w:r>
              <w:rPr>
                <w:szCs w:val="18"/>
              </w:rPr>
              <w:t>nr.:</w:t>
            </w:r>
          </w:p>
        </w:tc>
        <w:sdt>
          <w:sdtPr>
            <w:rPr>
              <w:szCs w:val="18"/>
            </w:rPr>
            <w:tag w:val="DocumentNumber"/>
            <w:id w:val="10000"/>
            <w:placeholder>
              <w:docPart w:val="DefaultPlaceholder_1082065158"/>
            </w:placeholder>
            <w:dataBinding w:prefixMappings="xmlns:gbs='http://www.software-innovation.no/growBusinessDocument'" w:xpath="/gbs:GrowBusinessDocument/gbs:DocumentNumber[@gbs:key='10000']" w:storeItemID="{CF452AC6-22EA-488F-903D-FD7169E9D878}"/>
            <w:text/>
          </w:sdtPr>
          <w:sdtEndPr/>
          <w:sdtContent>
            <w:tc>
              <w:tcPr>
                <w:tcW w:w="1559" w:type="dxa"/>
              </w:tcPr>
              <w:p w14:paraId="33CAED1C" w14:textId="77777777" w:rsidR="000723B6" w:rsidRPr="0039370F" w:rsidRDefault="00EA04C6" w:rsidP="00D24F7E">
                <w:pPr>
                  <w:rPr>
                    <w:szCs w:val="18"/>
                  </w:rPr>
                </w:pPr>
                <w:r>
                  <w:rPr>
                    <w:szCs w:val="18"/>
                  </w:rPr>
                  <w:t>23/03817-21</w:t>
                </w:r>
              </w:p>
            </w:tc>
          </w:sdtContent>
        </w:sdt>
      </w:tr>
      <w:tr w:rsidR="000723B6" w:rsidRPr="0039370F" w14:paraId="4E2320D0" w14:textId="77777777" w:rsidTr="00E02308">
        <w:trPr>
          <w:cantSplit/>
        </w:trPr>
        <w:tc>
          <w:tcPr>
            <w:tcW w:w="4820" w:type="dxa"/>
            <w:vMerge/>
          </w:tcPr>
          <w:p w14:paraId="43CA1E7E" w14:textId="77777777" w:rsidR="000723B6" w:rsidRPr="0039370F" w:rsidRDefault="000723B6">
            <w:pPr>
              <w:rPr>
                <w:rFonts w:ascii="Arial" w:hAnsi="Arial"/>
                <w:sz w:val="22"/>
                <w:szCs w:val="22"/>
              </w:rPr>
            </w:pPr>
          </w:p>
        </w:tc>
        <w:tc>
          <w:tcPr>
            <w:tcW w:w="1418" w:type="dxa"/>
          </w:tcPr>
          <w:p w14:paraId="3C009417" w14:textId="77777777" w:rsidR="000723B6" w:rsidRPr="0039370F" w:rsidRDefault="000723B6" w:rsidP="00B00EC1">
            <w:pPr>
              <w:rPr>
                <w:szCs w:val="18"/>
              </w:rPr>
            </w:pPr>
            <w:r w:rsidRPr="0039370F">
              <w:rPr>
                <w:szCs w:val="18"/>
              </w:rPr>
              <w:t>Arkivkode:</w:t>
            </w:r>
          </w:p>
        </w:tc>
        <w:sdt>
          <w:sdtPr>
            <w:rPr>
              <w:szCs w:val="18"/>
            </w:rPr>
            <w:tag w:val="ToCase.ToClassCodes.Value"/>
            <w:id w:val="10001"/>
            <w:placeholder>
              <w:docPart w:val="DefaultPlaceholder_1082065158"/>
            </w:placeholder>
            <w:dataBinding w:prefixMappings="xmlns:gbs='http://www.software-innovation.no/growBusinessDocument'" w:xpath="/gbs:GrowBusinessDocument/gbs:ToCase.ToClassCodes.Value[@gbs:key='10001']" w:storeItemID="{CF452AC6-22EA-488F-903D-FD7169E9D878}"/>
            <w:text/>
          </w:sdtPr>
          <w:sdtEndPr/>
          <w:sdtContent>
            <w:tc>
              <w:tcPr>
                <w:tcW w:w="1559" w:type="dxa"/>
              </w:tcPr>
              <w:p w14:paraId="7D3DFD16" w14:textId="77777777" w:rsidR="000723B6" w:rsidRPr="0039370F" w:rsidRDefault="00EA04C6" w:rsidP="00B00EC1">
                <w:pPr>
                  <w:rPr>
                    <w:szCs w:val="18"/>
                  </w:rPr>
                </w:pPr>
                <w:r>
                  <w:rPr>
                    <w:szCs w:val="18"/>
                  </w:rPr>
                  <w:t>512</w:t>
                </w:r>
              </w:p>
            </w:tc>
          </w:sdtContent>
        </w:sdt>
      </w:tr>
      <w:tr w:rsidR="000723B6" w:rsidRPr="0039370F" w14:paraId="7D21565A" w14:textId="77777777" w:rsidTr="00E02308">
        <w:trPr>
          <w:cantSplit/>
        </w:trPr>
        <w:tc>
          <w:tcPr>
            <w:tcW w:w="4820" w:type="dxa"/>
            <w:vMerge/>
          </w:tcPr>
          <w:p w14:paraId="34AEB417" w14:textId="77777777" w:rsidR="000723B6" w:rsidRPr="0039370F" w:rsidRDefault="000723B6">
            <w:pPr>
              <w:rPr>
                <w:rFonts w:ascii="Arial" w:hAnsi="Arial"/>
                <w:sz w:val="22"/>
                <w:szCs w:val="22"/>
              </w:rPr>
            </w:pPr>
          </w:p>
        </w:tc>
        <w:tc>
          <w:tcPr>
            <w:tcW w:w="1418" w:type="dxa"/>
          </w:tcPr>
          <w:p w14:paraId="2D3F98BE" w14:textId="77777777" w:rsidR="000723B6" w:rsidRPr="0039370F" w:rsidRDefault="000723B6" w:rsidP="00B00EC1">
            <w:pPr>
              <w:rPr>
                <w:szCs w:val="18"/>
              </w:rPr>
            </w:pPr>
            <w:r w:rsidRPr="0039370F">
              <w:rPr>
                <w:szCs w:val="18"/>
              </w:rPr>
              <w:t>Dato:</w:t>
            </w:r>
          </w:p>
        </w:tc>
        <w:sdt>
          <w:sdtPr>
            <w:rPr>
              <w:szCs w:val="18"/>
            </w:rPr>
            <w:tag w:val="DocumentDate"/>
            <w:id w:val="10002"/>
            <w:placeholder>
              <w:docPart w:val="DefaultPlaceholder_1082065160"/>
            </w:placeholder>
            <w:dataBinding w:prefixMappings="xmlns:gbs='http://www.software-innovation.no/growBusinessDocument'" w:xpath="/gbs:GrowBusinessDocument/gbs:DocumentDate[@gbs:key='10002']" w:storeItemID="{CF452AC6-22EA-488F-903D-FD7169E9D878}"/>
            <w:date w:fullDate="2024-01-15T00:00:00Z">
              <w:dateFormat w:val="dd.MM.yyyy"/>
              <w:lid w:val="nb-NO"/>
              <w:storeMappedDataAs w:val="dateTime"/>
              <w:calendar w:val="gregorian"/>
            </w:date>
          </w:sdtPr>
          <w:sdtEndPr/>
          <w:sdtContent>
            <w:tc>
              <w:tcPr>
                <w:tcW w:w="1559" w:type="dxa"/>
              </w:tcPr>
              <w:p w14:paraId="7BD38850" w14:textId="20F57D61" w:rsidR="000723B6" w:rsidRPr="0039370F" w:rsidRDefault="000F232D" w:rsidP="00B00EC1">
                <w:pPr>
                  <w:rPr>
                    <w:szCs w:val="18"/>
                  </w:rPr>
                </w:pPr>
                <w:r>
                  <w:rPr>
                    <w:szCs w:val="18"/>
                  </w:rPr>
                  <w:t>15.01.2024</w:t>
                </w:r>
              </w:p>
            </w:tc>
          </w:sdtContent>
        </w:sdt>
      </w:tr>
      <w:tr w:rsidR="000723B6" w:rsidRPr="0039370F" w14:paraId="2A156DAE" w14:textId="77777777" w:rsidTr="00E02308">
        <w:trPr>
          <w:cantSplit/>
        </w:trPr>
        <w:tc>
          <w:tcPr>
            <w:tcW w:w="4820" w:type="dxa"/>
            <w:vMerge/>
          </w:tcPr>
          <w:p w14:paraId="02FAAD1D" w14:textId="77777777" w:rsidR="000723B6" w:rsidRPr="0039370F" w:rsidRDefault="000723B6">
            <w:pPr>
              <w:rPr>
                <w:rFonts w:ascii="Arial" w:hAnsi="Arial"/>
                <w:sz w:val="22"/>
                <w:szCs w:val="22"/>
              </w:rPr>
            </w:pPr>
          </w:p>
        </w:tc>
        <w:tc>
          <w:tcPr>
            <w:tcW w:w="1418" w:type="dxa"/>
          </w:tcPr>
          <w:p w14:paraId="65CFF318" w14:textId="77777777" w:rsidR="000723B6" w:rsidRPr="0039370F" w:rsidRDefault="000723B6" w:rsidP="00B00EC1">
            <w:pPr>
              <w:rPr>
                <w:szCs w:val="18"/>
              </w:rPr>
            </w:pPr>
            <w:r w:rsidRPr="0039370F">
              <w:rPr>
                <w:szCs w:val="18"/>
              </w:rPr>
              <w:t>Saksbehandler:</w:t>
            </w:r>
          </w:p>
        </w:tc>
        <w:sdt>
          <w:sdtPr>
            <w:rPr>
              <w:szCs w:val="18"/>
            </w:rPr>
            <w:tag w:val="OurRef.Name"/>
            <w:id w:val="10003"/>
            <w:placeholder>
              <w:docPart w:val="DefaultPlaceholder_1082065158"/>
            </w:placeholder>
            <w:dataBinding w:prefixMappings="xmlns:gbs='http://www.software-innovation.no/growBusinessDocument'" w:xpath="/gbs:GrowBusinessDocument/gbs:OurRef.Name[@gbs:key='10003']" w:storeItemID="{CF452AC6-22EA-488F-903D-FD7169E9D878}"/>
            <w:text/>
          </w:sdtPr>
          <w:sdtEndPr/>
          <w:sdtContent>
            <w:tc>
              <w:tcPr>
                <w:tcW w:w="1559" w:type="dxa"/>
              </w:tcPr>
              <w:p w14:paraId="75ADDD73" w14:textId="77777777" w:rsidR="000723B6" w:rsidRPr="0039370F" w:rsidRDefault="00EA04C6" w:rsidP="00B00EC1">
                <w:pPr>
                  <w:rPr>
                    <w:szCs w:val="18"/>
                  </w:rPr>
                </w:pPr>
                <w:r>
                  <w:rPr>
                    <w:szCs w:val="18"/>
                  </w:rPr>
                  <w:t>Karsten Kragh Langfeldt</w:t>
                </w:r>
              </w:p>
            </w:tc>
          </w:sdtContent>
        </w:sdt>
      </w:tr>
    </w:tbl>
    <w:p w14:paraId="131D6B14" w14:textId="77777777" w:rsidR="000723B6" w:rsidRPr="0039370F" w:rsidRDefault="000723B6">
      <w:pPr>
        <w:rPr>
          <w:sz w:val="22"/>
          <w:szCs w:val="22"/>
        </w:rPr>
      </w:pPr>
    </w:p>
    <w:p w14:paraId="6AA1A0F3" w14:textId="77777777" w:rsidR="000723B6" w:rsidRPr="0039370F" w:rsidRDefault="000723B6">
      <w:pPr>
        <w:rPr>
          <w:sz w:val="22"/>
          <w:szCs w:val="22"/>
        </w:rPr>
      </w:pPr>
    </w:p>
    <w:p w14:paraId="55A87D71" w14:textId="77777777" w:rsidR="000723B6" w:rsidRPr="004B1245" w:rsidRDefault="000723B6">
      <w:pPr>
        <w:rPr>
          <w:sz w:val="24"/>
          <w:szCs w:val="24"/>
        </w:rPr>
      </w:pPr>
    </w:p>
    <w:tbl>
      <w:tblPr>
        <w:tblW w:w="0" w:type="auto"/>
        <w:tblLook w:val="0000" w:firstRow="0" w:lastRow="0" w:firstColumn="0" w:lastColumn="0" w:noHBand="0" w:noVBand="0"/>
      </w:tblPr>
      <w:tblGrid>
        <w:gridCol w:w="800"/>
        <w:gridCol w:w="5347"/>
      </w:tblGrid>
      <w:tr w:rsidR="000723B6" w:rsidRPr="004B1245" w14:paraId="582A84B8" w14:textId="77777777">
        <w:tc>
          <w:tcPr>
            <w:tcW w:w="817" w:type="dxa"/>
          </w:tcPr>
          <w:p w14:paraId="3BE138DC" w14:textId="77777777" w:rsidR="000723B6" w:rsidRPr="004B1245" w:rsidRDefault="000723B6" w:rsidP="00B00EC1">
            <w:pPr>
              <w:rPr>
                <w:sz w:val="24"/>
                <w:szCs w:val="24"/>
              </w:rPr>
            </w:pPr>
            <w:r w:rsidRPr="004B1245">
              <w:rPr>
                <w:sz w:val="24"/>
                <w:szCs w:val="24"/>
              </w:rPr>
              <w:t>Til:</w:t>
            </w:r>
          </w:p>
        </w:tc>
        <w:sdt>
          <w:sdtPr>
            <w:rPr>
              <w:sz w:val="24"/>
              <w:szCs w:val="24"/>
            </w:rPr>
            <w:id w:val="235596729"/>
            <w:placeholder>
              <w:docPart w:val="DefaultPlaceholder_1082065158"/>
            </w:placeholder>
            <w:text/>
          </w:sdtPr>
          <w:sdtEndPr/>
          <w:sdtContent>
            <w:tc>
              <w:tcPr>
                <w:tcW w:w="5546" w:type="dxa"/>
              </w:tcPr>
              <w:p w14:paraId="4A4F1D79" w14:textId="389854A0" w:rsidR="000723B6" w:rsidRPr="004B1245" w:rsidRDefault="0093178E" w:rsidP="00B00EC1">
                <w:pPr>
                  <w:rPr>
                    <w:b/>
                    <w:bCs/>
                    <w:sz w:val="24"/>
                    <w:szCs w:val="24"/>
                  </w:rPr>
                </w:pPr>
                <w:r w:rsidRPr="004B1245">
                  <w:rPr>
                    <w:sz w:val="24"/>
                    <w:szCs w:val="24"/>
                  </w:rPr>
                  <w:t>Kommunen / fylkeskommunen / virksomheten</w:t>
                </w:r>
                <w:r w:rsidR="00EA04C6">
                  <w:rPr>
                    <w:sz w:val="24"/>
                    <w:szCs w:val="24"/>
                  </w:rPr>
                  <w:t>/E-verket</w:t>
                </w:r>
              </w:p>
            </w:tc>
          </w:sdtContent>
        </w:sdt>
      </w:tr>
    </w:tbl>
    <w:p w14:paraId="723277E8" w14:textId="77777777" w:rsidR="000723B6" w:rsidRDefault="000723B6"/>
    <w:p w14:paraId="152F0328" w14:textId="77777777" w:rsidR="000723B6" w:rsidRDefault="000723B6"/>
    <w:tbl>
      <w:tblPr>
        <w:tblW w:w="0" w:type="auto"/>
        <w:tblLook w:val="0000" w:firstRow="0" w:lastRow="0" w:firstColumn="0" w:lastColumn="0" w:noHBand="0" w:noVBand="0"/>
      </w:tblPr>
      <w:tblGrid>
        <w:gridCol w:w="6147"/>
      </w:tblGrid>
      <w:tr w:rsidR="000723B6" w14:paraId="4F57F5E0" w14:textId="77777777">
        <w:sdt>
          <w:sdtPr>
            <w:rPr>
              <w:sz w:val="24"/>
              <w:szCs w:val="24"/>
            </w:rPr>
            <w:tag w:val="Title"/>
            <w:id w:val="10004"/>
            <w:placeholder>
              <w:docPart w:val="DefaultPlaceholder_1082065158"/>
            </w:placeholder>
            <w:dataBinding w:prefixMappings="xmlns:gbs='http://www.software-innovation.no/growBusinessDocument'" w:xpath="/gbs:GrowBusinessDocument/gbs:Title[@gbs:key='10004']" w:storeItemID="{CF452AC6-22EA-488F-903D-FD7169E9D878}"/>
            <w:text/>
          </w:sdtPr>
          <w:sdtEndPr/>
          <w:sdtContent>
            <w:tc>
              <w:tcPr>
                <w:tcW w:w="6363" w:type="dxa"/>
              </w:tcPr>
              <w:p w14:paraId="4798E362" w14:textId="77777777" w:rsidR="000723B6" w:rsidRPr="00FD4FFF" w:rsidRDefault="00EA04C6" w:rsidP="00B00EC1">
                <w:pPr>
                  <w:pStyle w:val="Overskrift2"/>
                </w:pPr>
                <w:r>
                  <w:rPr>
                    <w:sz w:val="24"/>
                    <w:szCs w:val="24"/>
                  </w:rPr>
                  <w:t>Hovedavtalen 1.1.2024 - 31.12.2025</w:t>
                </w:r>
              </w:p>
            </w:tc>
          </w:sdtContent>
        </w:sdt>
      </w:tr>
    </w:tbl>
    <w:p w14:paraId="6961908B" w14:textId="77777777" w:rsidR="003040C1" w:rsidRDefault="00EA04C6" w:rsidP="00EA04C6">
      <w:pPr>
        <w:shd w:val="clear" w:color="auto" w:fill="FFFFFF"/>
        <w:spacing w:before="100" w:beforeAutospacing="1" w:after="100" w:afterAutospacing="1"/>
        <w:rPr>
          <w:rFonts w:asciiTheme="minorHAnsi" w:hAnsiTheme="minorHAnsi" w:cstheme="minorHAnsi"/>
          <w:sz w:val="22"/>
          <w:szCs w:val="22"/>
        </w:rPr>
      </w:pPr>
      <w:bookmarkStart w:id="0" w:name="Brødtekst"/>
      <w:bookmarkEnd w:id="0"/>
      <w:r w:rsidRPr="00EA04C6">
        <w:rPr>
          <w:rFonts w:asciiTheme="minorHAnsi" w:hAnsiTheme="minorHAnsi" w:cstheme="minorHAnsi"/>
          <w:sz w:val="22"/>
          <w:szCs w:val="22"/>
        </w:rPr>
        <w:t>Det vises til A-rundskriv 5/2023. Det anbefalte forslaget til Hoved</w:t>
      </w:r>
      <w:r w:rsidRPr="00EA04C6">
        <w:rPr>
          <w:rFonts w:asciiTheme="minorHAnsi" w:hAnsiTheme="minorHAnsi" w:cstheme="minorHAnsi"/>
          <w:sz w:val="22"/>
          <w:szCs w:val="22"/>
        </w:rPr>
        <w:softHyphen/>
        <w:t>avtale for perioden 01.01.2024 – 31.12.2025 er vedtatt ved ur</w:t>
      </w:r>
      <w:r w:rsidRPr="00EA04C6">
        <w:rPr>
          <w:rFonts w:asciiTheme="minorHAnsi" w:hAnsiTheme="minorHAnsi" w:cstheme="minorHAnsi"/>
          <w:sz w:val="22"/>
          <w:szCs w:val="22"/>
        </w:rPr>
        <w:softHyphen/>
        <w:t xml:space="preserve">avstemning, og akseptert av arbeidstakerorganisasjonene. </w:t>
      </w:r>
    </w:p>
    <w:p w14:paraId="348D4F25" w14:textId="23936A4B"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sz w:val="22"/>
          <w:szCs w:val="22"/>
        </w:rPr>
        <w:t>Hoved</w:t>
      </w:r>
      <w:r w:rsidRPr="00EA04C6">
        <w:rPr>
          <w:rFonts w:asciiTheme="minorHAnsi" w:hAnsiTheme="minorHAnsi" w:cstheme="minorHAnsi"/>
          <w:sz w:val="22"/>
          <w:szCs w:val="22"/>
        </w:rPr>
        <w:softHyphen/>
        <w:t>avtalen vedlagt forhandlingsprotokoll og dette rundskrivet vil bli inntatt i den trykte versjonen av avtalen, som vil bli sendt til medlemmene så snart som mulig. Hoved</w:t>
      </w:r>
      <w:r w:rsidRPr="00EA04C6">
        <w:rPr>
          <w:rFonts w:asciiTheme="minorHAnsi" w:hAnsiTheme="minorHAnsi" w:cstheme="minorHAnsi"/>
          <w:sz w:val="22"/>
          <w:szCs w:val="22"/>
        </w:rPr>
        <w:softHyphen/>
        <w:t xml:space="preserve">avtalen finnes også på ks.no. </w:t>
      </w:r>
    </w:p>
    <w:p w14:paraId="2C21FFB5"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b/>
          <w:sz w:val="22"/>
          <w:szCs w:val="22"/>
        </w:rPr>
        <w:t>Generelt</w:t>
      </w:r>
      <w:r w:rsidRPr="00EA04C6">
        <w:rPr>
          <w:rFonts w:asciiTheme="minorHAnsi" w:hAnsiTheme="minorHAnsi" w:cstheme="minorHAnsi"/>
          <w:b/>
          <w:sz w:val="22"/>
          <w:szCs w:val="22"/>
        </w:rPr>
        <w:br/>
      </w:r>
      <w:r w:rsidRPr="00EA04C6">
        <w:rPr>
          <w:rFonts w:asciiTheme="minorHAnsi" w:hAnsiTheme="minorHAnsi" w:cstheme="minorHAnsi"/>
          <w:sz w:val="22"/>
          <w:szCs w:val="22"/>
        </w:rPr>
        <w:t>Dette rundskrivet gir viktig veiledning til sentrale bestemmelser i Hovedavtalen. De sentrale parter er enige om forståelsen og anbe</w:t>
      </w:r>
      <w:r w:rsidRPr="00EA04C6">
        <w:rPr>
          <w:rFonts w:asciiTheme="minorHAnsi" w:hAnsiTheme="minorHAnsi" w:cstheme="minorHAnsi"/>
          <w:sz w:val="22"/>
          <w:szCs w:val="22"/>
        </w:rPr>
        <w:softHyphen/>
        <w:t>falt praktisering av avtalen slik det fremkommer nedenfor. Det gjøres særskilt oppmerksom på at forhandlingsprotokollen peker på enkelte tema som også inngår i partssamarbeidet. Hoved</w:t>
      </w:r>
      <w:r w:rsidRPr="00EA04C6">
        <w:rPr>
          <w:rFonts w:asciiTheme="minorHAnsi" w:hAnsiTheme="minorHAnsi" w:cstheme="minorHAnsi"/>
          <w:sz w:val="22"/>
          <w:szCs w:val="22"/>
        </w:rPr>
        <w:softHyphen/>
        <w:t>avtalen,</w:t>
      </w:r>
      <w:r w:rsidRPr="00EA04C6">
        <w:rPr>
          <w:rFonts w:asciiTheme="minorHAnsi" w:hAnsiTheme="minorHAnsi" w:cstheme="minorHAnsi"/>
          <w:color w:val="000000" w:themeColor="text1"/>
          <w:sz w:val="22"/>
          <w:szCs w:val="22"/>
        </w:rPr>
        <w:t xml:space="preserve"> </w:t>
      </w:r>
      <w:hyperlink r:id="rId9" w:tooltip="A-04/09: Forslag til ny hovedavtale fra 1.1.2010 - 31.12.2013, Vedlegg 2: Forhandlingsprotokoll" w:history="1">
        <w:r w:rsidRPr="00EA04C6">
          <w:rPr>
            <w:rStyle w:val="Hyperkobling"/>
            <w:rFonts w:asciiTheme="minorHAnsi" w:hAnsiTheme="minorHAnsi" w:cstheme="minorHAnsi"/>
            <w:color w:val="000000" w:themeColor="text1"/>
            <w:sz w:val="22"/>
            <w:szCs w:val="22"/>
          </w:rPr>
          <w:t>forhand</w:t>
        </w:r>
        <w:r w:rsidRPr="00EA04C6">
          <w:rPr>
            <w:rStyle w:val="Hyperkobling"/>
            <w:rFonts w:asciiTheme="minorHAnsi" w:hAnsiTheme="minorHAnsi" w:cstheme="minorHAnsi"/>
            <w:color w:val="000000" w:themeColor="text1"/>
            <w:sz w:val="22"/>
            <w:szCs w:val="22"/>
          </w:rPr>
          <w:softHyphen/>
          <w:t>lings</w:t>
        </w:r>
        <w:r w:rsidRPr="00EA04C6">
          <w:rPr>
            <w:rStyle w:val="Hyperkobling"/>
            <w:rFonts w:asciiTheme="minorHAnsi" w:hAnsiTheme="minorHAnsi" w:cstheme="minorHAnsi"/>
            <w:color w:val="000000" w:themeColor="text1"/>
            <w:sz w:val="22"/>
            <w:szCs w:val="22"/>
          </w:rPr>
          <w:softHyphen/>
        </w:r>
        <w:r w:rsidRPr="00EA04C6">
          <w:rPr>
            <w:rStyle w:val="Hyperkobling"/>
            <w:rFonts w:asciiTheme="minorHAnsi" w:hAnsiTheme="minorHAnsi" w:cstheme="minorHAnsi"/>
            <w:color w:val="000000" w:themeColor="text1"/>
            <w:sz w:val="22"/>
            <w:szCs w:val="22"/>
          </w:rPr>
          <w:softHyphen/>
        </w:r>
        <w:r w:rsidRPr="00EA04C6">
          <w:rPr>
            <w:rStyle w:val="Hyperkobling"/>
            <w:rFonts w:asciiTheme="minorHAnsi" w:hAnsiTheme="minorHAnsi" w:cstheme="minorHAnsi"/>
            <w:color w:val="000000" w:themeColor="text1"/>
            <w:sz w:val="22"/>
            <w:szCs w:val="22"/>
          </w:rPr>
          <w:softHyphen/>
          <w:t>protokollen</w:t>
        </w:r>
      </w:hyperlink>
      <w:r w:rsidRPr="00EA04C6">
        <w:rPr>
          <w:rFonts w:asciiTheme="minorHAnsi" w:hAnsiTheme="minorHAnsi" w:cstheme="minorHAnsi"/>
          <w:sz w:val="22"/>
          <w:szCs w:val="22"/>
        </w:rPr>
        <w:t xml:space="preserve"> (se vedlegg til Hovedavtalen og/eller A-rundskriv 5/2023) og rundskrivet må derfor leses i sammen</w:t>
      </w:r>
      <w:r w:rsidRPr="00EA04C6">
        <w:rPr>
          <w:rFonts w:asciiTheme="minorHAnsi" w:hAnsiTheme="minorHAnsi" w:cstheme="minorHAnsi"/>
          <w:sz w:val="22"/>
          <w:szCs w:val="22"/>
        </w:rPr>
        <w:softHyphen/>
        <w:t xml:space="preserve">heng. Dette rundskrivet </w:t>
      </w:r>
      <w:r w:rsidRPr="00EA04C6">
        <w:rPr>
          <w:rFonts w:asciiTheme="minorHAnsi" w:hAnsiTheme="minorHAnsi" w:cstheme="minorHAnsi"/>
          <w:i/>
          <w:iCs/>
          <w:sz w:val="22"/>
          <w:szCs w:val="22"/>
        </w:rPr>
        <w:t>supplerer</w:t>
      </w:r>
      <w:r w:rsidRPr="00EA04C6">
        <w:rPr>
          <w:rFonts w:asciiTheme="minorHAnsi" w:hAnsiTheme="minorHAnsi" w:cstheme="minorHAnsi"/>
          <w:sz w:val="22"/>
          <w:szCs w:val="22"/>
        </w:rPr>
        <w:t xml:space="preserve"> tidligere B-rundskriv om Hovedavtalen</w:t>
      </w:r>
      <w:bookmarkStart w:id="1" w:name="DS2870771"/>
      <w:bookmarkEnd w:id="1"/>
      <w:r w:rsidRPr="00EA04C6">
        <w:rPr>
          <w:rFonts w:asciiTheme="minorHAnsi" w:hAnsiTheme="minorHAnsi" w:cstheme="minorHAnsi"/>
          <w:sz w:val="22"/>
          <w:szCs w:val="22"/>
        </w:rPr>
        <w:t xml:space="preserve">. </w:t>
      </w:r>
    </w:p>
    <w:p w14:paraId="2F5B7E40" w14:textId="77777777" w:rsidR="00EA04C6" w:rsidRPr="00EA04C6" w:rsidRDefault="00EA04C6" w:rsidP="00EA04C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Theme="minorHAnsi" w:hAnsiTheme="minorHAnsi" w:cstheme="minorHAnsi"/>
          <w:b/>
          <w:color w:val="1F497D" w:themeColor="text2"/>
          <w:sz w:val="22"/>
          <w:szCs w:val="22"/>
        </w:rPr>
      </w:pPr>
      <w:r w:rsidRPr="00EA04C6">
        <w:rPr>
          <w:rFonts w:asciiTheme="minorHAnsi" w:hAnsiTheme="minorHAnsi" w:cstheme="minorHAnsi"/>
          <w:b/>
          <w:sz w:val="22"/>
          <w:szCs w:val="22"/>
        </w:rPr>
        <w:t xml:space="preserve">For ytterligere veiledning viser vi til Hovedavtaleveilederen som finnes her: </w:t>
      </w:r>
      <w:r w:rsidRPr="00EA04C6">
        <w:rPr>
          <w:rFonts w:asciiTheme="minorHAnsi" w:hAnsiTheme="minorHAnsi" w:cstheme="minorHAnsi"/>
          <w:b/>
          <w:color w:val="1F497D" w:themeColor="text2"/>
          <w:sz w:val="22"/>
          <w:szCs w:val="22"/>
        </w:rPr>
        <w:t>https://www.ks.no/fagomrader/lonn-og-tariff/hovedavtalen/hovedavtaleveileder/</w:t>
      </w:r>
    </w:p>
    <w:p w14:paraId="64071944"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b/>
          <w:sz w:val="22"/>
          <w:szCs w:val="22"/>
          <w:u w:val="single"/>
        </w:rPr>
        <w:lastRenderedPageBreak/>
        <w:t>Hovedavtalens formål og intensjoner</w:t>
      </w:r>
      <w:r w:rsidRPr="00EA04C6">
        <w:rPr>
          <w:rFonts w:asciiTheme="minorHAnsi" w:hAnsiTheme="minorHAnsi" w:cstheme="minorHAnsi"/>
          <w:b/>
          <w:sz w:val="22"/>
          <w:szCs w:val="22"/>
        </w:rPr>
        <w:t xml:space="preserve"> </w:t>
      </w:r>
      <w:r w:rsidRPr="00EA04C6">
        <w:rPr>
          <w:rFonts w:asciiTheme="minorHAnsi" w:hAnsiTheme="minorHAnsi" w:cstheme="minorHAnsi"/>
          <w:b/>
          <w:sz w:val="22"/>
          <w:szCs w:val="22"/>
        </w:rPr>
        <w:br/>
      </w:r>
      <w:r w:rsidRPr="00EA04C6">
        <w:rPr>
          <w:rFonts w:asciiTheme="minorHAnsi" w:hAnsiTheme="minorHAnsi" w:cstheme="minorHAnsi"/>
          <w:sz w:val="22"/>
          <w:szCs w:val="22"/>
        </w:rPr>
        <w:t>De sentrale parter har inngått Hovedavtalen for å skape et best mulig samarbeidsgrunnlag mellom partene på alle nivåer. Avtalen viderefører prinsippet om at arbeidsgivere og tillits</w:t>
      </w:r>
      <w:r w:rsidRPr="00EA04C6">
        <w:rPr>
          <w:rFonts w:asciiTheme="minorHAnsi" w:hAnsiTheme="minorHAnsi" w:cstheme="minorHAnsi"/>
          <w:sz w:val="22"/>
          <w:szCs w:val="22"/>
        </w:rPr>
        <w:softHyphen/>
        <w:t>valgte lokalt finner hensiktsmessige løsninger for å ivareta gode prosesser for medbestemmelse gjennom ordningen med tillits</w:t>
      </w:r>
      <w:r w:rsidRPr="00EA04C6">
        <w:rPr>
          <w:rFonts w:asciiTheme="minorHAnsi" w:hAnsiTheme="minorHAnsi" w:cstheme="minorHAnsi"/>
          <w:sz w:val="22"/>
          <w:szCs w:val="22"/>
        </w:rPr>
        <w:softHyphen/>
        <w:t>valgte. Dette under</w:t>
      </w:r>
      <w:r w:rsidRPr="00EA04C6">
        <w:rPr>
          <w:rFonts w:asciiTheme="minorHAnsi" w:hAnsiTheme="minorHAnsi" w:cstheme="minorHAnsi"/>
          <w:sz w:val="22"/>
          <w:szCs w:val="22"/>
        </w:rPr>
        <w:softHyphen/>
        <w:t>strekes i formålet til Hovedavtalen. Det fastslås at en positiv videre</w:t>
      </w:r>
      <w:r w:rsidRPr="00EA04C6">
        <w:rPr>
          <w:rFonts w:asciiTheme="minorHAnsi" w:hAnsiTheme="minorHAnsi" w:cstheme="minorHAnsi"/>
          <w:sz w:val="22"/>
          <w:szCs w:val="22"/>
        </w:rPr>
        <w:softHyphen/>
        <w:t>utvikling av kvalitativt gode tjenester forutsetter samarbeid mellom arbeidsgiver, de tilsatte og deres organisasjoner. De sentrale parter peker særlig på betydningen av partssamarbeid gjennom gode prosesser for medvirkning for de ansatte gjennom ordningen med de tillits</w:t>
      </w:r>
      <w:r w:rsidRPr="00EA04C6">
        <w:rPr>
          <w:rFonts w:asciiTheme="minorHAnsi" w:hAnsiTheme="minorHAnsi" w:cstheme="minorHAnsi"/>
          <w:sz w:val="22"/>
          <w:szCs w:val="22"/>
        </w:rPr>
        <w:softHyphen/>
        <w:t>valgte. De øvrige bestemmelsene i Hovedavtalen må leses og forstås i lys av formålet og intensjonene i avtalen.</w:t>
      </w:r>
      <w:bookmarkStart w:id="2" w:name="DS2870773"/>
      <w:bookmarkEnd w:id="2"/>
    </w:p>
    <w:p w14:paraId="7F61327F" w14:textId="5EF30168"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u w:val="single"/>
        </w:rPr>
      </w:pPr>
      <w:r w:rsidRPr="00EA04C6">
        <w:rPr>
          <w:rFonts w:asciiTheme="minorHAnsi" w:hAnsiTheme="minorHAnsi" w:cstheme="minorHAnsi"/>
          <w:b/>
          <w:sz w:val="22"/>
          <w:szCs w:val="22"/>
          <w:u w:val="single"/>
        </w:rPr>
        <w:t>Hovedavtalen Del B</w:t>
      </w:r>
    </w:p>
    <w:p w14:paraId="4EDB2873"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 xml:space="preserve">Hovedavtalen del B §§ 1-4-1, 1-4-2 og 3-1 - Informasjon og drøfting </w:t>
      </w:r>
    </w:p>
    <w:p w14:paraId="48AB966C"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sz w:val="22"/>
          <w:szCs w:val="22"/>
        </w:rPr>
        <w:t>Drøftingsplikten etter Hovedavtalen bygger på prinsippet om at de tillitsvalgte, som representanter for de ansatte, gjennom drøftinger skal kunne påvirke beslutninger før arbeidsgiver treffer avgjørelse. Det er arbeidsgiver som har ansvar for at slike drøftinger skjer tidligst mulig, før endelig beslutning fattes. Informasjonsmøter, deltakelse i utvalg/arbeidsgrupper/ad-hoc grupper eller høringer erstatter ikke drøftingsretten etter Hovedavtalen.</w:t>
      </w:r>
    </w:p>
    <w:p w14:paraId="79B6947B"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Partene er enige om at drøftinger skal skje i møte med arbeids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givers representant og ha et innhold og en form som gjør at de tillitsvalgtes syn kommer frem.</w:t>
      </w:r>
    </w:p>
    <w:p w14:paraId="6C6B3E6C" w14:textId="61D4B1EA"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Fremmes det benkeforslag i et politisk organ, vil drøftings</w:t>
      </w:r>
      <w:r w:rsidRPr="00EA04C6">
        <w:rPr>
          <w:rFonts w:asciiTheme="minorHAnsi" w:hAnsiTheme="minorHAnsi" w:cstheme="minorHAnsi"/>
          <w:sz w:val="22"/>
          <w:szCs w:val="22"/>
        </w:rPr>
        <w:softHyphen/>
        <w:t>plikten inn</w:t>
      </w:r>
      <w:r w:rsidRPr="00EA04C6">
        <w:rPr>
          <w:rFonts w:asciiTheme="minorHAnsi" w:hAnsiTheme="minorHAnsi" w:cstheme="minorHAnsi"/>
          <w:sz w:val="22"/>
          <w:szCs w:val="22"/>
        </w:rPr>
        <w:softHyphen/>
        <w:t>tre umiddelbart deretter, jf. Arbeidsrettens dom ARD 2008-10. I dommen bemerkes dessuten følgende</w:t>
      </w:r>
      <w:r w:rsidRPr="00EA04C6">
        <w:rPr>
          <w:rFonts w:asciiTheme="minorHAnsi" w:hAnsiTheme="minorHAnsi" w:cstheme="minorHAnsi"/>
          <w:i/>
          <w:iCs/>
          <w:sz w:val="22"/>
          <w:szCs w:val="22"/>
        </w:rPr>
        <w:t xml:space="preserve"> "Ut fra omstendighetene i saken finner Arbeidsretten grunn til å føye til at det vil være i strid med hovedavtalens § 3-4 bokstav b) dersom det legges opp til å treffe et vedtak på grunnlag av benkeforslag, dersom formålet er å omgå bestemmelsene om drøftingsplikt."</w:t>
      </w:r>
      <w:r w:rsidRPr="00EA04C6">
        <w:rPr>
          <w:rFonts w:asciiTheme="minorHAnsi" w:hAnsiTheme="minorHAnsi" w:cstheme="minorHAnsi"/>
          <w:sz w:val="22"/>
          <w:szCs w:val="22"/>
        </w:rPr>
        <w:t xml:space="preserve"> (någjeldende del B § 3-1 bokstav c)</w:t>
      </w:r>
      <w:r w:rsidR="003040C1">
        <w:rPr>
          <w:rFonts w:asciiTheme="minorHAnsi" w:hAnsiTheme="minorHAnsi" w:cstheme="minorHAnsi"/>
          <w:sz w:val="22"/>
          <w:szCs w:val="22"/>
        </w:rPr>
        <w:t>.</w:t>
      </w:r>
    </w:p>
    <w:p w14:paraId="6946AC4B" w14:textId="32B0791B"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lastRenderedPageBreak/>
        <w:t>De sentrale parter viser blant annet til at kommuner/</w:t>
      </w:r>
      <w:r w:rsidRPr="00EA04C6">
        <w:rPr>
          <w:rFonts w:asciiTheme="minorHAnsi" w:hAnsiTheme="minorHAnsi" w:cstheme="minorHAnsi"/>
          <w:sz w:val="22"/>
          <w:szCs w:val="22"/>
        </w:rPr>
        <w:softHyphen/>
        <w:t>fylkes</w:t>
      </w:r>
      <w:r w:rsidRPr="00EA04C6">
        <w:rPr>
          <w:rFonts w:asciiTheme="minorHAnsi" w:hAnsiTheme="minorHAnsi" w:cstheme="minorHAnsi"/>
          <w:sz w:val="22"/>
          <w:szCs w:val="22"/>
        </w:rPr>
        <w:softHyphen/>
        <w:t>kom</w:t>
      </w:r>
      <w:r w:rsidRPr="00EA04C6">
        <w:rPr>
          <w:rFonts w:asciiTheme="minorHAnsi" w:hAnsiTheme="minorHAnsi" w:cstheme="minorHAnsi"/>
          <w:sz w:val="22"/>
          <w:szCs w:val="22"/>
        </w:rPr>
        <w:softHyphen/>
        <w:t>muner med månedlige informasjons- og/eller drøft</w:t>
      </w:r>
      <w:r w:rsidRPr="00EA04C6">
        <w:rPr>
          <w:rFonts w:asciiTheme="minorHAnsi" w:hAnsiTheme="minorHAnsi" w:cstheme="minorHAnsi"/>
          <w:sz w:val="22"/>
          <w:szCs w:val="22"/>
        </w:rPr>
        <w:softHyphen/>
        <w:t>ings</w:t>
      </w:r>
      <w:r w:rsidRPr="00EA04C6">
        <w:rPr>
          <w:rFonts w:asciiTheme="minorHAnsi" w:hAnsiTheme="minorHAnsi" w:cstheme="minorHAnsi"/>
          <w:sz w:val="22"/>
          <w:szCs w:val="22"/>
        </w:rPr>
        <w:softHyphen/>
        <w:t>møter jf. Hoved</w:t>
      </w:r>
      <w:r w:rsidR="003040C1">
        <w:rPr>
          <w:rFonts w:asciiTheme="minorHAnsi" w:hAnsiTheme="minorHAnsi" w:cstheme="minorHAnsi"/>
          <w:sz w:val="22"/>
          <w:szCs w:val="22"/>
        </w:rPr>
        <w:softHyphen/>
      </w:r>
      <w:r>
        <w:rPr>
          <w:rFonts w:asciiTheme="minorHAnsi" w:hAnsiTheme="minorHAnsi" w:cstheme="minorHAnsi"/>
          <w:sz w:val="22"/>
          <w:szCs w:val="22"/>
        </w:rPr>
        <w:softHyphen/>
      </w:r>
      <w:r w:rsidRPr="00EA04C6">
        <w:rPr>
          <w:rFonts w:asciiTheme="minorHAnsi" w:hAnsiTheme="minorHAnsi" w:cstheme="minorHAnsi"/>
          <w:sz w:val="22"/>
          <w:szCs w:val="22"/>
        </w:rPr>
        <w:t xml:space="preserve">avtalen del B </w:t>
      </w:r>
      <w:hyperlink r:id="rId10" w:tooltip="Hovedavtalen 01.01.2014-31.12.2015, Del B Kommuner og fylkeskommuner, herunder kommunale og fylkes kommunale foretak, jf. kommuneloven kap. 11, § 3 - Arbeidsgivers og tillitsvalgtes gjensidige rettigheter og plikter, § 3-1 - Arbeidsgivers plikter i forhol" w:history="1">
        <w:r w:rsidRPr="00EA04C6">
          <w:rPr>
            <w:rStyle w:val="Hyperkobling"/>
            <w:rFonts w:asciiTheme="minorHAnsi" w:hAnsiTheme="minorHAnsi" w:cstheme="minorHAnsi"/>
            <w:sz w:val="22"/>
            <w:szCs w:val="22"/>
          </w:rPr>
          <w:t>§ 3-1 b</w:t>
        </w:r>
      </w:hyperlink>
      <w:r w:rsidRPr="00EA04C6">
        <w:rPr>
          <w:rFonts w:asciiTheme="minorHAnsi" w:hAnsiTheme="minorHAnsi" w:cstheme="minorHAnsi"/>
          <w:sz w:val="22"/>
          <w:szCs w:val="22"/>
        </w:rPr>
        <w:t xml:space="preserve">), har god erfaring med det. Det samme gjelder ved desentralisert </w:t>
      </w:r>
      <w:proofErr w:type="spellStart"/>
      <w:r w:rsidRPr="00EA04C6">
        <w:rPr>
          <w:rFonts w:asciiTheme="minorHAnsi" w:hAnsiTheme="minorHAnsi" w:cstheme="minorHAnsi"/>
          <w:sz w:val="22"/>
          <w:szCs w:val="22"/>
        </w:rPr>
        <w:t>fullmaktsnivå</w:t>
      </w:r>
      <w:proofErr w:type="spellEnd"/>
      <w:r w:rsidRPr="00EA04C6">
        <w:rPr>
          <w:rFonts w:asciiTheme="minorHAnsi" w:hAnsiTheme="minorHAnsi" w:cstheme="minorHAnsi"/>
          <w:sz w:val="22"/>
          <w:szCs w:val="22"/>
        </w:rPr>
        <w:t>. Bestemmelsen gir forbund som kun er repre</w:t>
      </w:r>
      <w:r w:rsidRPr="00EA04C6">
        <w:rPr>
          <w:rFonts w:asciiTheme="minorHAnsi" w:hAnsiTheme="minorHAnsi" w:cstheme="minorHAnsi"/>
          <w:sz w:val="22"/>
          <w:szCs w:val="22"/>
        </w:rPr>
        <w:softHyphen/>
        <w:t>sentert ved tillitsvalgt (som ikke fyller vilkårene for å ha hovedtillitsvalgt) en rett til å delta i denne type møter</w:t>
      </w:r>
      <w:r w:rsidR="003B3D07">
        <w:rPr>
          <w:rFonts w:asciiTheme="minorHAnsi" w:hAnsiTheme="minorHAnsi" w:cstheme="minorHAnsi"/>
          <w:sz w:val="22"/>
          <w:szCs w:val="22"/>
        </w:rPr>
        <w:t>.</w:t>
      </w:r>
      <w:r w:rsidRPr="00EA04C6">
        <w:rPr>
          <w:rFonts w:asciiTheme="minorHAnsi" w:hAnsiTheme="minorHAnsi" w:cstheme="minorHAnsi"/>
          <w:sz w:val="22"/>
          <w:szCs w:val="22"/>
        </w:rPr>
        <w:t xml:space="preserve"> </w:t>
      </w:r>
    </w:p>
    <w:p w14:paraId="574CAB36"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En annen organisering av virksomheten medfører ikke at drøftings</w:t>
      </w:r>
      <w:r w:rsidRPr="00EA04C6">
        <w:rPr>
          <w:rFonts w:asciiTheme="minorHAnsi" w:hAnsiTheme="minorHAnsi" w:cstheme="minorHAnsi"/>
          <w:sz w:val="22"/>
          <w:szCs w:val="22"/>
        </w:rPr>
        <w:softHyphen/>
        <w:t xml:space="preserve">plikten bortfaller. </w:t>
      </w:r>
    </w:p>
    <w:p w14:paraId="33511B06" w14:textId="7E8D0B09"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Ved vurdering av eventuell konkurranseutsetting skal arbeids</w:t>
      </w:r>
      <w:r w:rsidRPr="00EA04C6">
        <w:rPr>
          <w:rFonts w:asciiTheme="minorHAnsi" w:hAnsiTheme="minorHAnsi" w:cstheme="minorHAnsi"/>
          <w:sz w:val="22"/>
          <w:szCs w:val="22"/>
        </w:rPr>
        <w:softHyphen/>
        <w:t>taker</w:t>
      </w:r>
      <w:r w:rsidRPr="00EA04C6">
        <w:rPr>
          <w:rFonts w:asciiTheme="minorHAnsi" w:hAnsiTheme="minorHAnsi" w:cstheme="minorHAnsi"/>
          <w:sz w:val="22"/>
          <w:szCs w:val="22"/>
        </w:rPr>
        <w:softHyphen/>
        <w:t>organisasjonene eller forhandlings</w:t>
      </w:r>
      <w:r w:rsidRPr="00EA04C6">
        <w:rPr>
          <w:rFonts w:asciiTheme="minorHAnsi" w:hAnsiTheme="minorHAnsi" w:cstheme="minorHAnsi"/>
          <w:sz w:val="22"/>
          <w:szCs w:val="22"/>
        </w:rPr>
        <w:softHyphen/>
        <w:t>sammen</w:t>
      </w:r>
      <w:r w:rsidRPr="00EA04C6">
        <w:rPr>
          <w:rFonts w:asciiTheme="minorHAnsi" w:hAnsiTheme="minorHAnsi" w:cstheme="minorHAnsi"/>
          <w:sz w:val="22"/>
          <w:szCs w:val="22"/>
        </w:rPr>
        <w:softHyphen/>
        <w:t>slutningene være repre</w:t>
      </w:r>
      <w:r w:rsidRPr="00EA04C6">
        <w:rPr>
          <w:rFonts w:asciiTheme="minorHAnsi" w:hAnsiTheme="minorHAnsi" w:cstheme="minorHAnsi"/>
          <w:sz w:val="22"/>
          <w:szCs w:val="22"/>
        </w:rPr>
        <w:softHyphen/>
        <w:t>sen</w:t>
      </w:r>
      <w:r w:rsidRPr="00EA04C6">
        <w:rPr>
          <w:rFonts w:asciiTheme="minorHAnsi" w:hAnsiTheme="minorHAnsi" w:cstheme="minorHAnsi"/>
          <w:sz w:val="22"/>
          <w:szCs w:val="22"/>
        </w:rPr>
        <w:softHyphen/>
        <w:t>tert i administrative ad hoc-grupper. Før vedtak om å konkur</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rans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e</w:t>
      </w:r>
      <w:r w:rsidR="003040C1">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utsette en eller flere tjenester, skal den enkelte arbeids</w:t>
      </w:r>
      <w:r w:rsidRPr="00EA04C6">
        <w:rPr>
          <w:rFonts w:asciiTheme="minorHAnsi" w:hAnsiTheme="minorHAnsi" w:cstheme="minorHAnsi"/>
          <w:sz w:val="22"/>
          <w:szCs w:val="22"/>
        </w:rPr>
        <w:softHyphen/>
        <w:t>taker</w:t>
      </w:r>
      <w:r w:rsidRPr="00EA04C6">
        <w:rPr>
          <w:rFonts w:asciiTheme="minorHAnsi" w:hAnsiTheme="minorHAnsi" w:cstheme="minorHAnsi"/>
          <w:sz w:val="22"/>
          <w:szCs w:val="22"/>
        </w:rPr>
        <w:softHyphen/>
        <w:t>organisasjon/</w:t>
      </w:r>
      <w:r w:rsidRPr="00EA04C6">
        <w:rPr>
          <w:rFonts w:asciiTheme="minorHAnsi" w:hAnsiTheme="minorHAnsi" w:cstheme="minorHAnsi"/>
          <w:sz w:val="22"/>
          <w:szCs w:val="22"/>
        </w:rPr>
        <w:softHyphen/>
        <w:t>forhandlingssammen</w:t>
      </w:r>
      <w:r w:rsidRPr="00EA04C6">
        <w:rPr>
          <w:rFonts w:asciiTheme="minorHAnsi" w:hAnsiTheme="minorHAnsi" w:cstheme="minorHAnsi"/>
          <w:sz w:val="22"/>
          <w:szCs w:val="22"/>
        </w:rPr>
        <w:softHyphen/>
        <w:t>slutning gis anledning til å uttale seg skriftlig for besluttende organ.</w:t>
      </w:r>
    </w:p>
    <w:p w14:paraId="498677F1"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proofErr w:type="gramStart"/>
      <w:r w:rsidRPr="00EA04C6">
        <w:rPr>
          <w:rFonts w:asciiTheme="minorHAnsi" w:hAnsiTheme="minorHAnsi" w:cstheme="minorHAnsi"/>
          <w:sz w:val="22"/>
          <w:szCs w:val="22"/>
        </w:rPr>
        <w:t>For øvrig</w:t>
      </w:r>
      <w:proofErr w:type="gramEnd"/>
      <w:r w:rsidRPr="00EA04C6">
        <w:rPr>
          <w:rFonts w:asciiTheme="minorHAnsi" w:hAnsiTheme="minorHAnsi" w:cstheme="minorHAnsi"/>
          <w:sz w:val="22"/>
          <w:szCs w:val="22"/>
        </w:rPr>
        <w:t xml:space="preserve"> har bestemmelsen om konkurranseutsetting en henvisning til lov om offentlige anskaffelser og ILO-konvensjon nr. 94. Solidar</w:t>
      </w:r>
      <w:r w:rsidRPr="00EA04C6">
        <w:rPr>
          <w:rFonts w:asciiTheme="minorHAnsi" w:hAnsiTheme="minorHAnsi" w:cstheme="minorHAnsi"/>
          <w:sz w:val="22"/>
          <w:szCs w:val="22"/>
        </w:rPr>
        <w:softHyphen/>
        <w:t>ansvar innebærer at oppdragsgivere som driver nærings</w:t>
      </w:r>
      <w:r w:rsidRPr="00EA04C6">
        <w:rPr>
          <w:rFonts w:asciiTheme="minorHAnsi" w:hAnsiTheme="minorHAnsi" w:cstheme="minorHAnsi"/>
          <w:sz w:val="22"/>
          <w:szCs w:val="22"/>
        </w:rPr>
        <w:softHyphen/>
        <w:t>virksomhet kan stilles ansvarlig for de forpliktelsene oppdrags</w:t>
      </w:r>
      <w:r w:rsidRPr="00EA04C6">
        <w:rPr>
          <w:rFonts w:asciiTheme="minorHAnsi" w:hAnsiTheme="minorHAnsi" w:cstheme="minorHAnsi"/>
          <w:sz w:val="22"/>
          <w:szCs w:val="22"/>
        </w:rPr>
        <w:softHyphen/>
        <w:t>takerne nedover i en kontraktkjede har til å betale lønn og ferie</w:t>
      </w:r>
      <w:r w:rsidRPr="00EA04C6">
        <w:rPr>
          <w:rFonts w:asciiTheme="minorHAnsi" w:hAnsiTheme="minorHAnsi" w:cstheme="minorHAnsi"/>
          <w:sz w:val="22"/>
          <w:szCs w:val="22"/>
        </w:rPr>
        <w:softHyphen/>
        <w:t xml:space="preserve">penger. Solidaransvar er en del av arbeidet mot sosial dumping og skal bidra til økt seriøsitet i bransjer omfattet av </w:t>
      </w:r>
      <w:proofErr w:type="spellStart"/>
      <w:r w:rsidRPr="00EA04C6">
        <w:rPr>
          <w:rFonts w:asciiTheme="minorHAnsi" w:hAnsiTheme="minorHAnsi" w:cstheme="minorHAnsi"/>
          <w:sz w:val="22"/>
          <w:szCs w:val="22"/>
        </w:rPr>
        <w:t>allmenngjøring</w:t>
      </w:r>
      <w:proofErr w:type="spellEnd"/>
      <w:r w:rsidRPr="00EA04C6">
        <w:rPr>
          <w:rFonts w:asciiTheme="minorHAnsi" w:hAnsiTheme="minorHAnsi" w:cstheme="minorHAnsi"/>
          <w:sz w:val="22"/>
          <w:szCs w:val="22"/>
        </w:rPr>
        <w:t xml:space="preserve"> av tariffavtale</w:t>
      </w:r>
      <w:bookmarkStart w:id="3" w:name="DS2870774"/>
      <w:bookmarkStart w:id="4" w:name="OLE_LINK1"/>
      <w:bookmarkEnd w:id="3"/>
    </w:p>
    <w:p w14:paraId="46B42C52" w14:textId="2C83F624"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b/>
          <w:sz w:val="22"/>
          <w:szCs w:val="22"/>
        </w:rPr>
        <w:t>Hovedavtalen del B § 1-4-3 - Kommunal samhandling/</w:t>
      </w:r>
      <w:r w:rsidRPr="00EA04C6">
        <w:rPr>
          <w:rFonts w:asciiTheme="minorHAnsi" w:hAnsiTheme="minorHAnsi" w:cstheme="minorHAnsi"/>
          <w:b/>
          <w:sz w:val="22"/>
          <w:szCs w:val="22"/>
        </w:rPr>
        <w:softHyphen/>
        <w:t>inter</w:t>
      </w:r>
      <w:r>
        <w:rPr>
          <w:rFonts w:asciiTheme="minorHAnsi" w:hAnsiTheme="minorHAnsi" w:cstheme="minorHAnsi"/>
          <w:b/>
          <w:sz w:val="22"/>
          <w:szCs w:val="22"/>
        </w:rPr>
        <w:softHyphen/>
      </w:r>
      <w:r w:rsidRPr="00EA04C6">
        <w:rPr>
          <w:rFonts w:asciiTheme="minorHAnsi" w:hAnsiTheme="minorHAnsi" w:cstheme="minorHAnsi"/>
          <w:b/>
          <w:sz w:val="22"/>
          <w:szCs w:val="22"/>
        </w:rPr>
        <w:t>kommunalt samarbeid</w:t>
      </w:r>
      <w:r w:rsidRPr="00EA04C6">
        <w:rPr>
          <w:rFonts w:asciiTheme="minorHAnsi" w:hAnsiTheme="minorHAnsi" w:cstheme="minorHAnsi"/>
          <w:b/>
          <w:sz w:val="22"/>
          <w:szCs w:val="22"/>
        </w:rPr>
        <w:br/>
      </w:r>
      <w:r w:rsidRPr="00EA04C6">
        <w:rPr>
          <w:rFonts w:asciiTheme="minorHAnsi" w:hAnsiTheme="minorHAnsi" w:cstheme="minorHAnsi"/>
          <w:sz w:val="22"/>
          <w:szCs w:val="22"/>
        </w:rPr>
        <w:t>Bestemmelsen, som må leses i sammenheng med pkt. 4 i forhand</w:t>
      </w:r>
      <w:r w:rsidRPr="00EA04C6">
        <w:rPr>
          <w:rFonts w:asciiTheme="minorHAnsi" w:hAnsiTheme="minorHAnsi" w:cstheme="minorHAnsi"/>
          <w:sz w:val="22"/>
          <w:szCs w:val="22"/>
        </w:rPr>
        <w:softHyphen/>
        <w:t>lings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protokoll fra forhandlingene om Hovedavtalen 01.01.2014 - 31.12.2015 (se Hovedavtalen 01.01.2016 - 31.12.2017, s. 49), fastslår prin</w:t>
      </w:r>
      <w:r w:rsidRPr="00EA04C6">
        <w:rPr>
          <w:rFonts w:asciiTheme="minorHAnsi" w:hAnsiTheme="minorHAnsi" w:cstheme="minorHAnsi"/>
          <w:sz w:val="22"/>
          <w:szCs w:val="22"/>
        </w:rPr>
        <w:softHyphen/>
        <w:t>sippet om at det skal være arbeidsgiver og tillitsvalgte lokalt som finner hensiktsmessige løsninger for å ivareta gode prosesser for medbestemmelse gjennom ordningen med tillits</w:t>
      </w:r>
      <w:r w:rsidRPr="00EA04C6">
        <w:rPr>
          <w:rFonts w:asciiTheme="minorHAnsi" w:hAnsiTheme="minorHAnsi" w:cstheme="minorHAnsi"/>
          <w:sz w:val="22"/>
          <w:szCs w:val="22"/>
        </w:rPr>
        <w:softHyphen/>
        <w:t>valgte. Dette gjelder uavhengig av kommunens/</w:t>
      </w:r>
      <w:r w:rsidRPr="00EA04C6">
        <w:rPr>
          <w:rFonts w:asciiTheme="minorHAnsi" w:hAnsiTheme="minorHAnsi" w:cstheme="minorHAnsi"/>
          <w:sz w:val="22"/>
          <w:szCs w:val="22"/>
        </w:rPr>
        <w:softHyphen/>
        <w:t>fylkes</w:t>
      </w:r>
      <w:r w:rsidRPr="00EA04C6">
        <w:rPr>
          <w:rFonts w:asciiTheme="minorHAnsi" w:hAnsiTheme="minorHAnsi" w:cstheme="minorHAnsi"/>
          <w:sz w:val="22"/>
          <w:szCs w:val="22"/>
        </w:rPr>
        <w:softHyphen/>
        <w:t>kommunens valg av organi</w:t>
      </w:r>
      <w:r w:rsidRPr="00EA04C6">
        <w:rPr>
          <w:rFonts w:asciiTheme="minorHAnsi" w:hAnsiTheme="minorHAnsi" w:cstheme="minorHAnsi"/>
          <w:sz w:val="22"/>
          <w:szCs w:val="22"/>
        </w:rPr>
        <w:softHyphen/>
        <w:t>sasjons</w:t>
      </w:r>
      <w:r w:rsidRPr="00EA04C6">
        <w:rPr>
          <w:rFonts w:asciiTheme="minorHAnsi" w:hAnsiTheme="minorHAnsi" w:cstheme="minorHAnsi"/>
          <w:sz w:val="22"/>
          <w:szCs w:val="22"/>
        </w:rPr>
        <w:softHyphen/>
        <w:t>form eller ved sam</w:t>
      </w:r>
      <w:r w:rsidRPr="00EA04C6">
        <w:rPr>
          <w:rFonts w:asciiTheme="minorHAnsi" w:hAnsiTheme="minorHAnsi" w:cstheme="minorHAnsi"/>
          <w:sz w:val="22"/>
          <w:szCs w:val="22"/>
        </w:rPr>
        <w:softHyphen/>
        <w:t>arbeid på tvers av kommuner. Samarbeid og medbestemmelse skal ivaretas både ved nasjonale satsinger og ved samarbeid på tvers av kommuner/</w:t>
      </w:r>
      <w:r w:rsidRPr="00EA04C6">
        <w:rPr>
          <w:rFonts w:asciiTheme="minorHAnsi" w:hAnsiTheme="minorHAnsi" w:cstheme="minorHAnsi"/>
          <w:sz w:val="22"/>
          <w:szCs w:val="22"/>
        </w:rPr>
        <w:softHyphen/>
        <w:t>fylkes</w:t>
      </w:r>
      <w:r w:rsidRPr="00EA04C6">
        <w:rPr>
          <w:rFonts w:asciiTheme="minorHAnsi" w:hAnsiTheme="minorHAnsi" w:cstheme="minorHAnsi"/>
          <w:sz w:val="22"/>
          <w:szCs w:val="22"/>
        </w:rPr>
        <w:softHyphen/>
        <w:t>kommuner/</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virksom</w:t>
      </w:r>
      <w:r w:rsidRPr="00EA04C6">
        <w:rPr>
          <w:rFonts w:asciiTheme="minorHAnsi" w:hAnsiTheme="minorHAnsi" w:cstheme="minorHAnsi"/>
          <w:sz w:val="22"/>
          <w:szCs w:val="22"/>
        </w:rPr>
        <w:softHyphen/>
        <w:t>heter. Bestemmelsen er særlig relevant i for</w:t>
      </w:r>
      <w:r w:rsidRPr="00EA04C6">
        <w:rPr>
          <w:rFonts w:asciiTheme="minorHAnsi" w:hAnsiTheme="minorHAnsi" w:cstheme="minorHAnsi"/>
          <w:sz w:val="22"/>
          <w:szCs w:val="22"/>
        </w:rPr>
        <w:softHyphen/>
      </w:r>
      <w:r w:rsidRPr="00EA04C6">
        <w:rPr>
          <w:rFonts w:asciiTheme="minorHAnsi" w:hAnsiTheme="minorHAnsi" w:cstheme="minorHAnsi"/>
          <w:sz w:val="22"/>
          <w:szCs w:val="22"/>
        </w:rPr>
        <w:lastRenderedPageBreak/>
        <w:t>bindelse med etablering av prosesser/</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prosjekter i arbeidet med ny kommune</w:t>
      </w:r>
      <w:r w:rsidRPr="00EA04C6">
        <w:rPr>
          <w:rFonts w:asciiTheme="minorHAnsi" w:hAnsiTheme="minorHAnsi" w:cstheme="minorHAnsi"/>
          <w:sz w:val="22"/>
          <w:szCs w:val="22"/>
        </w:rPr>
        <w:softHyphen/>
        <w:t>struktur.</w:t>
      </w:r>
    </w:p>
    <w:p w14:paraId="0915227B" w14:textId="03ED49CA"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Kommuner og fylkeskommuner har lange tradisjoner med å sam</w:t>
      </w:r>
      <w:r w:rsidRPr="00EA04C6">
        <w:rPr>
          <w:rFonts w:asciiTheme="minorHAnsi" w:hAnsiTheme="minorHAnsi" w:cstheme="minorHAnsi"/>
          <w:sz w:val="22"/>
          <w:szCs w:val="22"/>
        </w:rPr>
        <w:softHyphen/>
        <w:t xml:space="preserve">arbeide om oppgaveløsning, og det finnes en rekke ulike </w:t>
      </w:r>
      <w:proofErr w:type="spellStart"/>
      <w:r w:rsidRPr="00EA04C6">
        <w:rPr>
          <w:rFonts w:asciiTheme="minorHAnsi" w:hAnsiTheme="minorHAnsi" w:cstheme="minorHAnsi"/>
          <w:sz w:val="22"/>
          <w:szCs w:val="22"/>
        </w:rPr>
        <w:t>sam</w:t>
      </w:r>
      <w:r w:rsidRPr="00EA04C6">
        <w:rPr>
          <w:rFonts w:asciiTheme="minorHAnsi" w:hAnsiTheme="minorHAnsi" w:cstheme="minorHAnsi"/>
          <w:sz w:val="22"/>
          <w:szCs w:val="22"/>
        </w:rPr>
        <w:softHyphen/>
        <w:t>hand</w:t>
      </w:r>
      <w:r w:rsidRPr="00EA04C6">
        <w:rPr>
          <w:rFonts w:asciiTheme="minorHAnsi" w:hAnsiTheme="minorHAnsi" w:cstheme="minorHAnsi"/>
          <w:sz w:val="22"/>
          <w:szCs w:val="22"/>
        </w:rPr>
        <w:softHyphen/>
        <w:t>lings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arenaer</w:t>
      </w:r>
      <w:proofErr w:type="spellEnd"/>
      <w:r w:rsidRPr="00EA04C6">
        <w:rPr>
          <w:rFonts w:asciiTheme="minorHAnsi" w:hAnsiTheme="minorHAnsi" w:cstheme="minorHAnsi"/>
          <w:sz w:val="22"/>
          <w:szCs w:val="22"/>
        </w:rPr>
        <w:t xml:space="preserve"> mellom kommuner/fylkeskommuner. Inter</w:t>
      </w:r>
      <w:r w:rsidRPr="00EA04C6">
        <w:rPr>
          <w:rFonts w:asciiTheme="minorHAnsi" w:hAnsiTheme="minorHAnsi" w:cstheme="minorHAnsi"/>
          <w:sz w:val="22"/>
          <w:szCs w:val="22"/>
        </w:rPr>
        <w:softHyphen/>
        <w:t>kommu</w:t>
      </w:r>
      <w:r w:rsidRPr="00EA04C6">
        <w:rPr>
          <w:rFonts w:asciiTheme="minorHAnsi" w:hAnsiTheme="minorHAnsi" w:cstheme="minorHAnsi"/>
          <w:sz w:val="22"/>
          <w:szCs w:val="22"/>
        </w:rPr>
        <w:softHyphen/>
        <w:t>nalt samarbeid/samhandling organiseres på ulikt vis og skjer på både administrativt og politisk nivå. Regionråd kan være et slikt inter</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kommunalt samarbeidsorgan. </w:t>
      </w:r>
    </w:p>
    <w:p w14:paraId="0AD87040" w14:textId="16E1262E"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Formålet med bestemmelsen er å sikre tillitsvalgtes med</w:t>
      </w:r>
      <w:r w:rsidRPr="00EA04C6">
        <w:rPr>
          <w:rFonts w:asciiTheme="minorHAnsi" w:hAnsiTheme="minorHAnsi" w:cstheme="minorHAnsi"/>
          <w:sz w:val="22"/>
          <w:szCs w:val="22"/>
        </w:rPr>
        <w:softHyphen/>
        <w:t>bestemm</w:t>
      </w:r>
      <w:r w:rsidRPr="00EA04C6">
        <w:rPr>
          <w:rFonts w:asciiTheme="minorHAnsi" w:hAnsiTheme="minorHAnsi" w:cstheme="minorHAnsi"/>
          <w:sz w:val="22"/>
          <w:szCs w:val="22"/>
        </w:rPr>
        <w:softHyphen/>
        <w:t>else i de tilfeller oppgaver vurderes utført gjennom kommunal sam</w:t>
      </w:r>
      <w:r w:rsidRPr="00EA04C6">
        <w:rPr>
          <w:rFonts w:asciiTheme="minorHAnsi" w:hAnsiTheme="minorHAnsi" w:cstheme="minorHAnsi"/>
          <w:sz w:val="22"/>
          <w:szCs w:val="22"/>
        </w:rPr>
        <w:softHyphen/>
        <w:t>handling og/eller interkommunalt samarbeid. Som det fr</w:t>
      </w:r>
      <w:r w:rsidR="003040C1">
        <w:rPr>
          <w:rFonts w:asciiTheme="minorHAnsi" w:hAnsiTheme="minorHAnsi" w:cstheme="minorHAnsi"/>
          <w:sz w:val="22"/>
          <w:szCs w:val="22"/>
        </w:rPr>
        <w:t>a</w:t>
      </w:r>
      <w:r w:rsidRPr="00EA04C6">
        <w:rPr>
          <w:rFonts w:asciiTheme="minorHAnsi" w:hAnsiTheme="minorHAnsi" w:cstheme="minorHAnsi"/>
          <w:sz w:val="22"/>
          <w:szCs w:val="22"/>
        </w:rPr>
        <w:t>mgår av bestemmelsen, skal tillitsvalgt</w:t>
      </w:r>
      <w:r w:rsidRPr="00EA04C6">
        <w:rPr>
          <w:rFonts w:asciiTheme="minorHAnsi" w:hAnsiTheme="minorHAnsi" w:cstheme="minorHAnsi"/>
          <w:sz w:val="22"/>
          <w:szCs w:val="22"/>
        </w:rPr>
        <w:softHyphen/>
        <w:t>ordningen tidligst mulig drøftes i slike tilfeller. Eksisterende ordninger i de samarbeidende kommunene/</w:t>
      </w:r>
      <w:r w:rsidRPr="00EA04C6">
        <w:rPr>
          <w:rFonts w:asciiTheme="minorHAnsi" w:hAnsiTheme="minorHAnsi" w:cstheme="minorHAnsi"/>
          <w:sz w:val="22"/>
          <w:szCs w:val="22"/>
        </w:rPr>
        <w:softHyphen/>
        <w:t>fylkes</w:t>
      </w:r>
      <w:r w:rsidRPr="00EA04C6">
        <w:rPr>
          <w:rFonts w:asciiTheme="minorHAnsi" w:hAnsiTheme="minorHAnsi" w:cstheme="minorHAnsi"/>
          <w:sz w:val="22"/>
          <w:szCs w:val="22"/>
        </w:rPr>
        <w:softHyphen/>
        <w:t>kommunene vil kunne være et naturlig utgangs</w:t>
      </w:r>
      <w:r w:rsidRPr="00EA04C6">
        <w:rPr>
          <w:rFonts w:asciiTheme="minorHAnsi" w:hAnsiTheme="minorHAnsi" w:cstheme="minorHAnsi"/>
          <w:sz w:val="22"/>
          <w:szCs w:val="22"/>
        </w:rPr>
        <w:softHyphen/>
        <w:t>punkt når det skal drøftes hvordan medbestemmelse og tillitsvalgt</w:t>
      </w:r>
      <w:r w:rsidRPr="00EA04C6">
        <w:rPr>
          <w:rFonts w:asciiTheme="minorHAnsi" w:hAnsiTheme="minorHAnsi" w:cstheme="minorHAnsi"/>
          <w:sz w:val="22"/>
          <w:szCs w:val="22"/>
        </w:rPr>
        <w:softHyphen/>
        <w:t>ordning kan ivare</w:t>
      </w:r>
      <w:r w:rsidRPr="00EA04C6">
        <w:rPr>
          <w:rFonts w:asciiTheme="minorHAnsi" w:hAnsiTheme="minorHAnsi" w:cstheme="minorHAnsi"/>
          <w:sz w:val="22"/>
          <w:szCs w:val="22"/>
        </w:rPr>
        <w:softHyphen/>
        <w:t>tas i samsvar med Hovedavtalens formål. </w:t>
      </w:r>
    </w:p>
    <w:bookmarkEnd w:id="4"/>
    <w:p w14:paraId="2C56F721"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 xml:space="preserve">Hovedavtalen del B § 1-5 – Oppfølging og opplæring </w:t>
      </w:r>
    </w:p>
    <w:p w14:paraId="1F538974" w14:textId="77777777" w:rsidR="00EA04C6" w:rsidRPr="00EA04C6" w:rsidRDefault="00EA04C6" w:rsidP="00EA04C6">
      <w:pPr>
        <w:shd w:val="clear" w:color="auto" w:fill="FFFFFF"/>
        <w:rPr>
          <w:rFonts w:asciiTheme="minorHAnsi" w:hAnsiTheme="minorHAnsi" w:cstheme="minorHAnsi"/>
          <w:sz w:val="22"/>
          <w:szCs w:val="22"/>
        </w:rPr>
      </w:pPr>
      <w:r w:rsidRPr="00EA04C6">
        <w:rPr>
          <w:rFonts w:asciiTheme="minorHAnsi" w:hAnsiTheme="minorHAnsi" w:cstheme="minorHAnsi"/>
          <w:sz w:val="22"/>
          <w:szCs w:val="22"/>
        </w:rPr>
        <w:t xml:space="preserve">Bestemmelsen presiserer at lokal skolering er et godt virkemiddel og at det er de lokale parter som bør drøfte behovet for slik skolering. Slik det er presisert i bestemmelsen skal ledere og tillitsvalgte på </w:t>
      </w:r>
      <w:r w:rsidRPr="00EA04C6">
        <w:rPr>
          <w:rFonts w:asciiTheme="minorHAnsi" w:hAnsiTheme="minorHAnsi" w:cstheme="minorHAnsi"/>
          <w:sz w:val="22"/>
          <w:szCs w:val="22"/>
          <w:u w:val="single"/>
        </w:rPr>
        <w:t>alle</w:t>
      </w:r>
      <w:r w:rsidRPr="00EA04C6">
        <w:rPr>
          <w:rFonts w:asciiTheme="minorHAnsi" w:hAnsiTheme="minorHAnsi" w:cstheme="minorHAnsi"/>
          <w:sz w:val="22"/>
          <w:szCs w:val="22"/>
        </w:rPr>
        <w:t xml:space="preserve"> nivåer delta i oppfølgingen og opplæringen. </w:t>
      </w:r>
    </w:p>
    <w:p w14:paraId="62CCE029" w14:textId="6779A45C"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I henhold til bestemmelsen skal det holdes årlige evaluerings</w:t>
      </w:r>
      <w:r w:rsidRPr="00EA04C6">
        <w:rPr>
          <w:rFonts w:asciiTheme="minorHAnsi" w:hAnsiTheme="minorHAnsi" w:cstheme="minorHAnsi"/>
          <w:sz w:val="22"/>
          <w:szCs w:val="22"/>
        </w:rPr>
        <w:softHyphen/>
        <w:t xml:space="preserve">møter </w:t>
      </w:r>
      <w:r w:rsidR="003040C1">
        <w:rPr>
          <w:rFonts w:asciiTheme="minorHAnsi" w:hAnsiTheme="minorHAnsi" w:cstheme="minorHAnsi"/>
          <w:sz w:val="22"/>
          <w:szCs w:val="22"/>
        </w:rPr>
        <w:t>o</w:t>
      </w:r>
      <w:r w:rsidRPr="00EA04C6">
        <w:rPr>
          <w:rFonts w:asciiTheme="minorHAnsi" w:hAnsiTheme="minorHAnsi" w:cstheme="minorHAnsi"/>
          <w:sz w:val="22"/>
          <w:szCs w:val="22"/>
        </w:rPr>
        <w:t xml:space="preserve">m Hovedavtalen, hvor de lokale partene evaluerer og drøfter erfaringer knyttet til partssamarbeidet. </w:t>
      </w:r>
    </w:p>
    <w:p w14:paraId="68C0677F" w14:textId="40A356BB"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Kommunedirektør deltar på evalueringsmøtene. Det vil være opp til de lokale parter selv å foreslå relevante drøftings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temaer. Eksempel</w:t>
      </w:r>
      <w:r>
        <w:rPr>
          <w:rFonts w:asciiTheme="minorHAnsi" w:hAnsiTheme="minorHAnsi" w:cstheme="minorHAnsi"/>
          <w:sz w:val="22"/>
          <w:szCs w:val="22"/>
        </w:rPr>
        <w:softHyphen/>
      </w:r>
      <w:r w:rsidRPr="00EA04C6">
        <w:rPr>
          <w:rFonts w:asciiTheme="minorHAnsi" w:hAnsiTheme="minorHAnsi" w:cstheme="minorHAnsi"/>
          <w:sz w:val="22"/>
          <w:szCs w:val="22"/>
        </w:rPr>
        <w:t>vis kan rutiner for informasjon og drøftinger med tillitsvalgte, vurder</w:t>
      </w:r>
      <w:r w:rsidR="003040C1">
        <w:rPr>
          <w:rFonts w:asciiTheme="minorHAnsi" w:hAnsiTheme="minorHAnsi" w:cstheme="minorHAnsi"/>
          <w:sz w:val="22"/>
          <w:szCs w:val="22"/>
        </w:rPr>
        <w:softHyphen/>
      </w:r>
      <w:r>
        <w:rPr>
          <w:rFonts w:asciiTheme="minorHAnsi" w:hAnsiTheme="minorHAnsi" w:cstheme="minorHAnsi"/>
          <w:sz w:val="22"/>
          <w:szCs w:val="22"/>
        </w:rPr>
        <w:softHyphen/>
      </w:r>
      <w:r w:rsidRPr="00EA04C6">
        <w:rPr>
          <w:rFonts w:asciiTheme="minorHAnsi" w:hAnsiTheme="minorHAnsi" w:cstheme="minorHAnsi"/>
          <w:sz w:val="22"/>
          <w:szCs w:val="22"/>
        </w:rPr>
        <w:t>inger om hensiktsmessige tillitsvalgtordninger, samt repre</w:t>
      </w:r>
      <w:r>
        <w:rPr>
          <w:rFonts w:asciiTheme="minorHAnsi" w:hAnsiTheme="minorHAnsi" w:cstheme="minorHAnsi"/>
          <w:sz w:val="22"/>
          <w:szCs w:val="22"/>
        </w:rPr>
        <w:softHyphen/>
      </w:r>
      <w:r w:rsidRPr="00EA04C6">
        <w:rPr>
          <w:rFonts w:asciiTheme="minorHAnsi" w:hAnsiTheme="minorHAnsi" w:cstheme="minorHAnsi"/>
          <w:sz w:val="22"/>
          <w:szCs w:val="22"/>
        </w:rPr>
        <w:t>sentasjon ved lokale forhand</w:t>
      </w:r>
      <w:r w:rsidRPr="00EA04C6">
        <w:rPr>
          <w:rFonts w:asciiTheme="minorHAnsi" w:hAnsiTheme="minorHAnsi" w:cstheme="minorHAnsi"/>
          <w:sz w:val="22"/>
          <w:szCs w:val="22"/>
        </w:rPr>
        <w:softHyphen/>
        <w:t>linger være naturlig å ta opp til diskusjon.</w:t>
      </w:r>
    </w:p>
    <w:p w14:paraId="384F74D7"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lastRenderedPageBreak/>
        <w:t xml:space="preserve">De sentrale parter er enige om at en gjennomgang av hvordan Hovedavtalen del B </w:t>
      </w:r>
      <w:hyperlink r:id="rId11" w:tooltip="Hovedavtalen 01.01.2014-31.12.2015, Del B Kommuner og fylkeskommuner, herunder kommunale og fylkes kommunale foretak, jf. kommuneloven kap. 11, § 3 - Arbeidsgivers og tillitsvalgtes gjensidige rettigheter og plikter" w:history="1">
        <w:r w:rsidRPr="00EA04C6">
          <w:rPr>
            <w:rStyle w:val="Hyperkobling"/>
            <w:rFonts w:asciiTheme="minorHAnsi" w:hAnsiTheme="minorHAnsi" w:cstheme="minorHAnsi"/>
            <w:sz w:val="22"/>
            <w:szCs w:val="22"/>
          </w:rPr>
          <w:t>§ 3</w:t>
        </w:r>
      </w:hyperlink>
      <w:r w:rsidRPr="00EA04C6">
        <w:rPr>
          <w:rFonts w:asciiTheme="minorHAnsi" w:hAnsiTheme="minorHAnsi" w:cstheme="minorHAnsi"/>
          <w:sz w:val="22"/>
          <w:szCs w:val="22"/>
        </w:rPr>
        <w:t xml:space="preserve"> etterleves og forstås lokalt, er relevant å drøfte i evalu</w:t>
      </w:r>
      <w:r w:rsidRPr="00EA04C6">
        <w:rPr>
          <w:rFonts w:asciiTheme="minorHAnsi" w:hAnsiTheme="minorHAnsi" w:cstheme="minorHAnsi"/>
          <w:sz w:val="22"/>
          <w:szCs w:val="22"/>
        </w:rPr>
        <w:softHyphen/>
        <w:t>erings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møtet. Det skrives referat fra møtene.</w:t>
      </w:r>
    </w:p>
    <w:p w14:paraId="5B421FB0" w14:textId="2C043303" w:rsidR="00EA04C6" w:rsidRPr="00EA04C6" w:rsidRDefault="00EA04C6" w:rsidP="00EA04C6">
      <w:pPr>
        <w:shd w:val="clear" w:color="auto" w:fill="FFFFFF"/>
        <w:rPr>
          <w:rFonts w:asciiTheme="minorHAnsi" w:hAnsiTheme="minorHAnsi" w:cstheme="minorHAnsi"/>
          <w:b/>
          <w:sz w:val="22"/>
          <w:szCs w:val="22"/>
        </w:rPr>
      </w:pPr>
      <w:bookmarkStart w:id="5" w:name="DS2870775"/>
      <w:bookmarkEnd w:id="5"/>
      <w:r w:rsidRPr="00EA04C6">
        <w:rPr>
          <w:rFonts w:asciiTheme="minorHAnsi" w:hAnsiTheme="minorHAnsi" w:cstheme="minorHAnsi"/>
          <w:b/>
          <w:sz w:val="22"/>
          <w:szCs w:val="22"/>
        </w:rPr>
        <w:t>Hovedavtalen del B § 3-3 - Tillitsvalgtordning, herunder struktur og frikjøp</w:t>
      </w:r>
      <w:r w:rsidRPr="00EA04C6">
        <w:rPr>
          <w:rFonts w:asciiTheme="minorHAnsi" w:hAnsiTheme="minorHAnsi" w:cstheme="minorHAnsi"/>
          <w:b/>
          <w:sz w:val="22"/>
          <w:szCs w:val="22"/>
        </w:rPr>
        <w:tab/>
      </w:r>
    </w:p>
    <w:p w14:paraId="12C69D00" w14:textId="77777777" w:rsidR="00EA04C6" w:rsidRPr="00EA04C6" w:rsidRDefault="00EA04C6" w:rsidP="00EA04C6">
      <w:pPr>
        <w:shd w:val="clear" w:color="auto" w:fill="FFFFFF"/>
        <w:rPr>
          <w:rFonts w:asciiTheme="minorHAnsi" w:hAnsiTheme="minorHAnsi" w:cstheme="minorHAnsi"/>
          <w:sz w:val="22"/>
          <w:szCs w:val="22"/>
        </w:rPr>
      </w:pPr>
      <w:r w:rsidRPr="00EA04C6">
        <w:rPr>
          <w:rFonts w:asciiTheme="minorHAnsi" w:hAnsiTheme="minorHAnsi" w:cstheme="minorHAnsi"/>
          <w:sz w:val="22"/>
          <w:szCs w:val="22"/>
        </w:rPr>
        <w:t>Utforming av lokal tillitsvalgtordning skal skje gjennom reelle drøftinger basert på lokale behov og det drøftingsgrunnlag som særlig frem</w:t>
      </w:r>
      <w:r w:rsidRPr="00EA04C6">
        <w:rPr>
          <w:rFonts w:asciiTheme="minorHAnsi" w:hAnsiTheme="minorHAnsi" w:cstheme="minorHAnsi"/>
          <w:sz w:val="22"/>
          <w:szCs w:val="22"/>
        </w:rPr>
        <w:softHyphen/>
        <w:t xml:space="preserve">kommer av Hovedavtalen del B </w:t>
      </w:r>
      <w:hyperlink r:id="rId12" w:tooltip="Hovedavtalen 01.01.2014-31.12.2015, Del B Kommuner og fylkeskommuner, herunder kommunale og fylkes kommunale foretak, jf. kommuneloven kap. 11, § 3 - Arbeidsgivers og tillitsvalgtes gjensidige rettigheter og plikter, § 3-3 - Tillitsvalgtordning, herunder " w:history="1">
        <w:r w:rsidRPr="00EA04C6">
          <w:rPr>
            <w:rStyle w:val="Hyperkobling"/>
            <w:rFonts w:asciiTheme="minorHAnsi" w:hAnsiTheme="minorHAnsi" w:cstheme="minorHAnsi"/>
            <w:sz w:val="22"/>
            <w:szCs w:val="22"/>
          </w:rPr>
          <w:t>§ 3-3</w:t>
        </w:r>
      </w:hyperlink>
      <w:r w:rsidRPr="00EA04C6">
        <w:rPr>
          <w:rFonts w:asciiTheme="minorHAnsi" w:hAnsiTheme="minorHAnsi" w:cstheme="minorHAnsi"/>
          <w:sz w:val="22"/>
          <w:szCs w:val="22"/>
        </w:rPr>
        <w:t xml:space="preserve"> a) og b). Se også forhandlings</w:t>
      </w:r>
      <w:r w:rsidRPr="00EA04C6">
        <w:rPr>
          <w:rFonts w:asciiTheme="minorHAnsi" w:hAnsiTheme="minorHAnsi" w:cstheme="minorHAnsi"/>
          <w:sz w:val="22"/>
          <w:szCs w:val="22"/>
        </w:rPr>
        <w:softHyphen/>
        <w:t>protokollen, pkt. 3, hvor drøftingsgrunnlaget er tydeliggjort. Lokal tillits</w:t>
      </w:r>
      <w:r w:rsidRPr="00EA04C6">
        <w:rPr>
          <w:rFonts w:asciiTheme="minorHAnsi" w:hAnsiTheme="minorHAnsi" w:cstheme="minorHAnsi"/>
          <w:sz w:val="22"/>
          <w:szCs w:val="22"/>
        </w:rPr>
        <w:softHyphen/>
        <w:t>valgt</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ordning nedfelles skriftlig. Som minimum bør ordningene omtale (se også Hovedavtaleveilederen):</w:t>
      </w:r>
    </w:p>
    <w:p w14:paraId="6881B85A" w14:textId="77777777" w:rsidR="00EA04C6" w:rsidRPr="00EA04C6" w:rsidRDefault="00EA04C6" w:rsidP="00EA04C6">
      <w:pPr>
        <w:pStyle w:val="Listeavsnitt"/>
        <w:numPr>
          <w:ilvl w:val="0"/>
          <w:numId w:val="1"/>
        </w:num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 xml:space="preserve">Det fastsatte antall tillitsvalgte, jf. definisjonene i del B </w:t>
      </w:r>
      <w:r w:rsidRPr="00EA04C6">
        <w:rPr>
          <w:rFonts w:asciiTheme="minorHAnsi" w:hAnsiTheme="minorHAnsi" w:cstheme="minorHAnsi"/>
          <w:sz w:val="22"/>
          <w:szCs w:val="22"/>
        </w:rPr>
        <w:tab/>
        <w:t xml:space="preserve">§§  </w:t>
      </w:r>
      <w:hyperlink r:id="rId13" w:tooltip="Hovedavtalen 01.01.2014-31.12.2015, Del B Kommuner og fylkeskommuner, herunder kommunale og fylkes kommunale foretak, jf. kommuneloven kap. 11, § 2 - Definisjoner, § 2-2 - Tillitsvalgt" w:history="1">
        <w:r w:rsidRPr="00EA04C6">
          <w:rPr>
            <w:rStyle w:val="Hyperkobling"/>
            <w:rFonts w:asciiTheme="minorHAnsi" w:hAnsiTheme="minorHAnsi" w:cstheme="minorHAnsi"/>
            <w:sz w:val="22"/>
            <w:szCs w:val="22"/>
          </w:rPr>
          <w:t>2-2</w:t>
        </w:r>
      </w:hyperlink>
      <w:r w:rsidRPr="00EA04C6">
        <w:rPr>
          <w:rFonts w:asciiTheme="minorHAnsi" w:hAnsiTheme="minorHAnsi" w:cstheme="minorHAnsi"/>
          <w:sz w:val="22"/>
          <w:szCs w:val="22"/>
        </w:rPr>
        <w:t xml:space="preserve"> og </w:t>
      </w:r>
      <w:hyperlink r:id="rId14" w:tooltip="Hovedavtalen 01.01.2014-31.12.2015, Del B Kommuner og fylkeskommuner, herunder kommunale og fylkes kommunale foretak, jf. kommuneloven kap. 11, § 2 - Definisjoner, § 2-3 - Hovedtillitsvalgt" w:history="1">
        <w:r w:rsidRPr="00EA04C6">
          <w:rPr>
            <w:rStyle w:val="Hyperkobling"/>
            <w:rFonts w:asciiTheme="minorHAnsi" w:hAnsiTheme="minorHAnsi" w:cstheme="minorHAnsi"/>
            <w:sz w:val="22"/>
            <w:szCs w:val="22"/>
          </w:rPr>
          <w:t>2-3</w:t>
        </w:r>
      </w:hyperlink>
      <w:r w:rsidRPr="00EA04C6">
        <w:rPr>
          <w:rFonts w:asciiTheme="minorHAnsi" w:hAnsiTheme="minorHAnsi" w:cstheme="minorHAnsi"/>
          <w:sz w:val="22"/>
          <w:szCs w:val="22"/>
        </w:rPr>
        <w:t xml:space="preserve">, </w:t>
      </w:r>
    </w:p>
    <w:p w14:paraId="538A4D1B" w14:textId="77777777" w:rsidR="00EA04C6" w:rsidRPr="00EA04C6" w:rsidRDefault="00EA04C6" w:rsidP="00EA04C6">
      <w:pPr>
        <w:pStyle w:val="Listeavsnitt"/>
        <w:numPr>
          <w:ilvl w:val="0"/>
          <w:numId w:val="1"/>
        </w:num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hvor i kommune</w:t>
      </w:r>
      <w:r w:rsidRPr="00EA04C6">
        <w:rPr>
          <w:rFonts w:asciiTheme="minorHAnsi" w:hAnsiTheme="minorHAnsi" w:cstheme="minorHAnsi"/>
          <w:sz w:val="22"/>
          <w:szCs w:val="22"/>
        </w:rPr>
        <w:softHyphen/>
        <w:t xml:space="preserve">organisasjonen disse skal utøve sin virksomhet som tillitsvalgt, </w:t>
      </w:r>
    </w:p>
    <w:p w14:paraId="7BBCDAAC" w14:textId="77777777" w:rsidR="00EA04C6" w:rsidRPr="00EA04C6" w:rsidRDefault="00EA04C6" w:rsidP="00EA04C6">
      <w:pPr>
        <w:pStyle w:val="Listeavsnitt"/>
        <w:numPr>
          <w:ilvl w:val="0"/>
          <w:numId w:val="1"/>
        </w:num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formelle møtepunkter mellom arbeidsgiver og tillitsvalgte,</w:t>
      </w:r>
    </w:p>
    <w:p w14:paraId="171DFED5" w14:textId="77777777" w:rsidR="00EA04C6" w:rsidRPr="00EA04C6" w:rsidRDefault="00EA04C6" w:rsidP="00EA04C6">
      <w:pPr>
        <w:pStyle w:val="Listeavsnitt"/>
        <w:numPr>
          <w:ilvl w:val="0"/>
          <w:numId w:val="1"/>
        </w:num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sz w:val="22"/>
          <w:szCs w:val="22"/>
        </w:rPr>
        <w:t xml:space="preserve">eventuell frikjøpsordning. </w:t>
      </w:r>
    </w:p>
    <w:p w14:paraId="74C5FF14"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De sentrale parter er enige om at undervisningspersonalet har rett til å velge tillitsvalgt på arbeidsplassen etter drøftings</w:t>
      </w:r>
      <w:r w:rsidRPr="00EA04C6">
        <w:rPr>
          <w:rFonts w:asciiTheme="minorHAnsi" w:hAnsiTheme="minorHAnsi" w:cstheme="minorHAnsi"/>
          <w:sz w:val="22"/>
          <w:szCs w:val="22"/>
        </w:rPr>
        <w:softHyphen/>
        <w:t>grunnlaget i Hovedavtalen del B § 3-3 a) og b) når en arbeidstakerorganisasjon har flere enn ett medlem på arbeidsplassen, jf. Hovedavtalen del B § 2-2, se også for</w:t>
      </w:r>
      <w:r w:rsidRPr="00EA04C6">
        <w:rPr>
          <w:rFonts w:asciiTheme="minorHAnsi" w:hAnsiTheme="minorHAnsi" w:cstheme="minorHAnsi"/>
          <w:sz w:val="22"/>
          <w:szCs w:val="22"/>
        </w:rPr>
        <w:softHyphen/>
        <w:t>hand</w:t>
      </w:r>
      <w:r w:rsidRPr="00EA04C6">
        <w:rPr>
          <w:rFonts w:asciiTheme="minorHAnsi" w:hAnsiTheme="minorHAnsi" w:cstheme="minorHAnsi"/>
          <w:sz w:val="22"/>
          <w:szCs w:val="22"/>
        </w:rPr>
        <w:softHyphen/>
        <w:t>lings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protokollen pkt. 5.</w:t>
      </w:r>
    </w:p>
    <w:p w14:paraId="6AD789F7" w14:textId="00FCE60D"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 xml:space="preserve">Som det </w:t>
      </w:r>
      <w:proofErr w:type="gramStart"/>
      <w:r w:rsidRPr="00EA04C6">
        <w:rPr>
          <w:rFonts w:asciiTheme="minorHAnsi" w:hAnsiTheme="minorHAnsi" w:cstheme="minorHAnsi"/>
          <w:sz w:val="22"/>
          <w:szCs w:val="22"/>
        </w:rPr>
        <w:t>fremgår</w:t>
      </w:r>
      <w:proofErr w:type="gramEnd"/>
      <w:r w:rsidRPr="00EA04C6">
        <w:rPr>
          <w:rFonts w:asciiTheme="minorHAnsi" w:hAnsiTheme="minorHAnsi" w:cstheme="minorHAnsi"/>
          <w:sz w:val="22"/>
          <w:szCs w:val="22"/>
        </w:rPr>
        <w:t xml:space="preserve"> av forhandlingsprotokollens pkt. 3, skal det til</w:t>
      </w:r>
      <w:r w:rsidRPr="00EA04C6">
        <w:rPr>
          <w:rFonts w:asciiTheme="minorHAnsi" w:hAnsiTheme="minorHAnsi" w:cstheme="minorHAnsi"/>
          <w:sz w:val="22"/>
          <w:szCs w:val="22"/>
        </w:rPr>
        <w:softHyphen/>
        <w:t>strebes enighet om behovet for antall tillitsvalgte og frikjøps</w:t>
      </w:r>
      <w:r w:rsidRPr="00EA04C6">
        <w:rPr>
          <w:rFonts w:asciiTheme="minorHAnsi" w:hAnsiTheme="minorHAnsi" w:cstheme="minorHAnsi"/>
          <w:sz w:val="22"/>
          <w:szCs w:val="22"/>
        </w:rPr>
        <w:softHyphen/>
        <w:t xml:space="preserve">ressurser. Pr. 1.1.2024 er det inntatt en presisering i § 3-3 c) om at behovet for frikjøp skal drøftes først. Det er ikke slik at partene skal </w:t>
      </w:r>
      <w:r w:rsidRPr="00EA04C6">
        <w:rPr>
          <w:rFonts w:asciiTheme="minorHAnsi" w:hAnsiTheme="minorHAnsi" w:cstheme="minorHAnsi"/>
          <w:i/>
          <w:iCs/>
          <w:sz w:val="22"/>
          <w:szCs w:val="22"/>
        </w:rPr>
        <w:t>starte</w:t>
      </w:r>
      <w:r w:rsidRPr="00EA04C6">
        <w:rPr>
          <w:rFonts w:asciiTheme="minorHAnsi" w:hAnsiTheme="minorHAnsi" w:cstheme="minorHAnsi"/>
          <w:sz w:val="22"/>
          <w:szCs w:val="22"/>
        </w:rPr>
        <w:t xml:space="preserve"> drøftingene om frikjøp basert på antall medlemmer og norm</w:t>
      </w:r>
      <w:r>
        <w:rPr>
          <w:rFonts w:asciiTheme="minorHAnsi" w:hAnsiTheme="minorHAnsi" w:cstheme="minorHAnsi"/>
          <w:sz w:val="22"/>
          <w:szCs w:val="22"/>
        </w:rPr>
        <w:softHyphen/>
      </w:r>
      <w:r w:rsidRPr="00EA04C6">
        <w:rPr>
          <w:rFonts w:asciiTheme="minorHAnsi" w:hAnsiTheme="minorHAnsi" w:cstheme="minorHAnsi"/>
          <w:sz w:val="22"/>
          <w:szCs w:val="22"/>
        </w:rPr>
        <w:t>tallene. Normtallene (375/275/200) for frikjøpsressursen gjelder ved uenighet om frikjøpsressursen. Ved færre medlemmer enn normtall</w:t>
      </w:r>
      <w:r>
        <w:rPr>
          <w:rFonts w:asciiTheme="minorHAnsi" w:hAnsiTheme="minorHAnsi" w:cstheme="minorHAnsi"/>
          <w:sz w:val="22"/>
          <w:szCs w:val="22"/>
        </w:rPr>
        <w:softHyphen/>
      </w:r>
      <w:r w:rsidRPr="00EA04C6">
        <w:rPr>
          <w:rFonts w:asciiTheme="minorHAnsi" w:hAnsiTheme="minorHAnsi" w:cstheme="minorHAnsi"/>
          <w:sz w:val="22"/>
          <w:szCs w:val="22"/>
        </w:rPr>
        <w:t>ene på henholdsvis 375/275/200, tildeles tillitsvalgtressursen forholds</w:t>
      </w:r>
      <w:r w:rsidRPr="00EA04C6">
        <w:rPr>
          <w:rFonts w:asciiTheme="minorHAnsi" w:hAnsiTheme="minorHAnsi" w:cstheme="minorHAnsi"/>
          <w:sz w:val="22"/>
          <w:szCs w:val="22"/>
        </w:rPr>
        <w:softHyphen/>
      </w:r>
      <w:r>
        <w:rPr>
          <w:rFonts w:asciiTheme="minorHAnsi" w:hAnsiTheme="minorHAnsi" w:cstheme="minorHAnsi"/>
          <w:sz w:val="22"/>
          <w:szCs w:val="22"/>
        </w:rPr>
        <w:softHyphen/>
      </w:r>
      <w:r w:rsidRPr="00EA04C6">
        <w:rPr>
          <w:rFonts w:asciiTheme="minorHAnsi" w:hAnsiTheme="minorHAnsi" w:cstheme="minorHAnsi"/>
          <w:sz w:val="22"/>
          <w:szCs w:val="22"/>
        </w:rPr>
        <w:t xml:space="preserve">messig, dersom det ikke er enighet om annet. </w:t>
      </w:r>
    </w:p>
    <w:p w14:paraId="69D4B18E"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bookmarkStart w:id="6" w:name="_Hlk96333740"/>
      <w:r w:rsidRPr="00EA04C6">
        <w:rPr>
          <w:rFonts w:asciiTheme="minorHAnsi" w:hAnsiTheme="minorHAnsi" w:cstheme="minorHAnsi"/>
          <w:sz w:val="22"/>
          <w:szCs w:val="22"/>
        </w:rPr>
        <w:t>Arbeidstakerorganisasjoner/forhandlingssammenslutninger med frikjøpsressurser fordeler sine tildelte frikjøpsressurser etter drøft</w:t>
      </w:r>
      <w:r w:rsidRPr="00EA04C6">
        <w:rPr>
          <w:rFonts w:asciiTheme="minorHAnsi" w:hAnsiTheme="minorHAnsi" w:cstheme="minorHAnsi"/>
          <w:sz w:val="22"/>
          <w:szCs w:val="22"/>
        </w:rPr>
        <w:softHyphen/>
      </w:r>
      <w:r w:rsidRPr="00EA04C6">
        <w:rPr>
          <w:rFonts w:asciiTheme="minorHAnsi" w:hAnsiTheme="minorHAnsi" w:cstheme="minorHAnsi"/>
          <w:sz w:val="22"/>
          <w:szCs w:val="22"/>
        </w:rPr>
        <w:lastRenderedPageBreak/>
        <w:t>inger med arbeidsgiver. I forbindelse med større omstillinger/</w:t>
      </w:r>
      <w:r w:rsidRPr="00EA04C6">
        <w:rPr>
          <w:rFonts w:asciiTheme="minorHAnsi" w:hAnsiTheme="minorHAnsi" w:cstheme="minorHAnsi"/>
          <w:sz w:val="22"/>
          <w:szCs w:val="22"/>
        </w:rPr>
        <w:softHyphen/>
        <w:t>prosjekter drøftes behov for ytterligere frikjøp, jf. Hovedavtalen del B § 3-3 j).  Nye kommuner/</w:t>
      </w:r>
      <w:r w:rsidRPr="00EA04C6">
        <w:rPr>
          <w:rFonts w:asciiTheme="minorHAnsi" w:hAnsiTheme="minorHAnsi" w:cstheme="minorHAnsi"/>
          <w:sz w:val="22"/>
          <w:szCs w:val="22"/>
        </w:rPr>
        <w:softHyphen/>
        <w:t>fylkeskommuner som har blitt splittet, bør vurdere om det i omstillingsperioden er nødvendig og viktig å involvere tillitsvalgte ut over det som følger av en normalsituasjon. I slike tilfeller må arbeidsgiver gjøre en konkret vurdering av be</w:t>
      </w:r>
      <w:r w:rsidRPr="00EA04C6">
        <w:rPr>
          <w:rFonts w:asciiTheme="minorHAnsi" w:hAnsiTheme="minorHAnsi" w:cstheme="minorHAnsi"/>
          <w:sz w:val="22"/>
          <w:szCs w:val="22"/>
        </w:rPr>
        <w:softHyphen/>
        <w:t xml:space="preserve">hovet for frikjøp. </w:t>
      </w:r>
    </w:p>
    <w:bookmarkEnd w:id="6"/>
    <w:p w14:paraId="1FAC72EC"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Ulike former for inter</w:t>
      </w:r>
      <w:r w:rsidRPr="00EA04C6">
        <w:rPr>
          <w:rFonts w:asciiTheme="minorHAnsi" w:hAnsiTheme="minorHAnsi" w:cstheme="minorHAnsi"/>
          <w:sz w:val="22"/>
          <w:szCs w:val="22"/>
        </w:rPr>
        <w:softHyphen/>
        <w:t>kommunalt samarbeid er andre eksempler på omstillings</w:t>
      </w:r>
      <w:r w:rsidRPr="00EA04C6">
        <w:rPr>
          <w:rFonts w:asciiTheme="minorHAnsi" w:hAnsiTheme="minorHAnsi" w:cstheme="minorHAnsi"/>
          <w:sz w:val="22"/>
          <w:szCs w:val="22"/>
        </w:rPr>
        <w:softHyphen/>
        <w:t>prosesser der vurdering av utvidet frikjøp i henhold til § 3-3 j) kan være aktuelt.</w:t>
      </w:r>
    </w:p>
    <w:p w14:paraId="35C19583" w14:textId="01123ED8"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Slike ordninger vil være tidsavgrenset der den/de tillitsvalgtes fri</w:t>
      </w:r>
      <w:r w:rsidRPr="00EA04C6">
        <w:rPr>
          <w:rFonts w:asciiTheme="minorHAnsi" w:hAnsiTheme="minorHAnsi" w:cstheme="minorHAnsi"/>
          <w:sz w:val="22"/>
          <w:szCs w:val="22"/>
        </w:rPr>
        <w:softHyphen/>
        <w:t>kjøps</w:t>
      </w:r>
      <w:r w:rsidRPr="00EA04C6">
        <w:rPr>
          <w:rFonts w:asciiTheme="minorHAnsi" w:hAnsiTheme="minorHAnsi" w:cstheme="minorHAnsi"/>
          <w:sz w:val="22"/>
          <w:szCs w:val="22"/>
        </w:rPr>
        <w:softHyphen/>
        <w:t>ressurs og arbeidsområde blir knyttet direkte opp mot det parts</w:t>
      </w:r>
      <w:r>
        <w:rPr>
          <w:rFonts w:asciiTheme="minorHAnsi" w:hAnsiTheme="minorHAnsi" w:cstheme="minorHAnsi"/>
          <w:sz w:val="22"/>
          <w:szCs w:val="22"/>
        </w:rPr>
        <w:softHyphen/>
      </w:r>
      <w:r w:rsidRPr="00EA04C6">
        <w:rPr>
          <w:rFonts w:asciiTheme="minorHAnsi" w:hAnsiTheme="minorHAnsi" w:cstheme="minorHAnsi"/>
          <w:sz w:val="22"/>
          <w:szCs w:val="22"/>
        </w:rPr>
        <w:softHyphen/>
        <w:t>samarbeidet som følger av omstillingen/</w:t>
      </w:r>
      <w:r w:rsidRPr="00EA04C6">
        <w:rPr>
          <w:rFonts w:asciiTheme="minorHAnsi" w:hAnsiTheme="minorHAnsi" w:cstheme="minorHAnsi"/>
          <w:sz w:val="22"/>
          <w:szCs w:val="22"/>
        </w:rPr>
        <w:softHyphen/>
        <w:t xml:space="preserve">prosjektet. </w:t>
      </w:r>
    </w:p>
    <w:p w14:paraId="5E918AE5"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b/>
          <w:sz w:val="22"/>
          <w:szCs w:val="22"/>
        </w:rPr>
        <w:t>Hovedavtalen del B § 3-4 - Rett til fri fra ordinært arbeid</w:t>
      </w:r>
      <w:r w:rsidRPr="00EA04C6">
        <w:rPr>
          <w:rFonts w:asciiTheme="minorHAnsi" w:hAnsiTheme="minorHAnsi" w:cstheme="minorHAnsi"/>
          <w:b/>
          <w:sz w:val="22"/>
          <w:szCs w:val="22"/>
        </w:rPr>
        <w:br/>
      </w:r>
      <w:r w:rsidRPr="00EA04C6">
        <w:rPr>
          <w:rFonts w:asciiTheme="minorHAnsi" w:hAnsiTheme="minorHAnsi" w:cstheme="minorHAnsi"/>
          <w:sz w:val="22"/>
          <w:szCs w:val="22"/>
        </w:rPr>
        <w:t>Arbeidssituasjonen for tillitsvalgte som arbeider i turnus kan være annerledes enn tillitsvalgte som ivaretar vervet på ordinær dagtid. 4. ledd i bestemmelsen tydeliggjør at arbeidssituasjonen for tillits</w:t>
      </w:r>
      <w:r w:rsidRPr="00EA04C6">
        <w:rPr>
          <w:rFonts w:asciiTheme="minorHAnsi" w:hAnsiTheme="minorHAnsi" w:cstheme="minorHAnsi"/>
          <w:sz w:val="22"/>
          <w:szCs w:val="22"/>
        </w:rPr>
        <w:softHyphen/>
        <w:t xml:space="preserve">valgte som jobber turnus, etter drøftinger tilrettelegges slik at de får samme arbeidsforhold og vilkår som tillitsvalgte som arbeider dagtid. </w:t>
      </w:r>
    </w:p>
    <w:p w14:paraId="108A57E6"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Hovedavtalen del B § 3-4, 5. ledd er en kompensasjons</w:t>
      </w:r>
      <w:r w:rsidRPr="00EA04C6">
        <w:rPr>
          <w:rFonts w:asciiTheme="minorHAnsi" w:hAnsiTheme="minorHAnsi" w:cstheme="minorHAnsi"/>
          <w:sz w:val="22"/>
          <w:szCs w:val="22"/>
        </w:rPr>
        <w:softHyphen/>
        <w:t>bestemmelse. Bestem</w:t>
      </w:r>
      <w:r w:rsidRPr="00EA04C6">
        <w:rPr>
          <w:rFonts w:asciiTheme="minorHAnsi" w:hAnsiTheme="minorHAnsi" w:cstheme="minorHAnsi"/>
          <w:sz w:val="22"/>
          <w:szCs w:val="22"/>
        </w:rPr>
        <w:softHyphen/>
        <w:t>m</w:t>
      </w:r>
      <w:r w:rsidRPr="00EA04C6">
        <w:rPr>
          <w:rFonts w:asciiTheme="minorHAnsi" w:hAnsiTheme="minorHAnsi" w:cstheme="minorHAnsi"/>
          <w:sz w:val="22"/>
          <w:szCs w:val="22"/>
        </w:rPr>
        <w:softHyphen/>
        <w:t>elsen gjelder for tillitsvalgte (jf. hovedavtalens definisjon) når arbeids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giver innkaller til møter og lokale for</w:t>
      </w:r>
      <w:r w:rsidRPr="00EA04C6">
        <w:rPr>
          <w:rFonts w:asciiTheme="minorHAnsi" w:hAnsiTheme="minorHAnsi" w:cstheme="minorHAnsi"/>
          <w:sz w:val="22"/>
          <w:szCs w:val="22"/>
        </w:rPr>
        <w:softHyphen/>
        <w:t xml:space="preserve">handlinger etter Hovedtariffavtalen som faller utenfor den tillitsvalgtes arbeidstid.  </w:t>
      </w:r>
    </w:p>
    <w:p w14:paraId="265ACAD4" w14:textId="77777777"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sz w:val="22"/>
          <w:szCs w:val="22"/>
        </w:rPr>
        <w:t xml:space="preserve">Det avklares med den enkelte tillitsvalgt om medgått tid skal kompenseres med </w:t>
      </w:r>
      <w:r w:rsidRPr="00EA04C6">
        <w:rPr>
          <w:rFonts w:asciiTheme="minorHAnsi" w:hAnsiTheme="minorHAnsi" w:cstheme="minorHAnsi"/>
          <w:sz w:val="22"/>
          <w:szCs w:val="22"/>
          <w:u w:val="single"/>
        </w:rPr>
        <w:t>timelønn</w:t>
      </w:r>
      <w:r w:rsidRPr="00EA04C6">
        <w:rPr>
          <w:rFonts w:asciiTheme="minorHAnsi" w:hAnsiTheme="minorHAnsi" w:cstheme="minorHAnsi"/>
          <w:sz w:val="22"/>
          <w:szCs w:val="22"/>
        </w:rPr>
        <w:t xml:space="preserve"> eller avspasering. </w:t>
      </w:r>
      <w:bookmarkStart w:id="7" w:name="DS2870777"/>
      <w:bookmarkEnd w:id="7"/>
    </w:p>
    <w:p w14:paraId="39C4F7E4" w14:textId="77777777" w:rsid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Hovedavtalen del B §§ 2-4 og 3-3 c) - Fellestillitsvalgt og forhandlingssammenslutning</w:t>
      </w:r>
    </w:p>
    <w:p w14:paraId="0423EA4E" w14:textId="340187D6"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 xml:space="preserve"> </w:t>
      </w:r>
      <w:r w:rsidRPr="00EA04C6">
        <w:rPr>
          <w:rFonts w:asciiTheme="minorHAnsi" w:hAnsiTheme="minorHAnsi" w:cstheme="minorHAnsi"/>
          <w:sz w:val="22"/>
          <w:szCs w:val="22"/>
        </w:rPr>
        <w:t xml:space="preserve">Alle organisasjonene innen en forhandlingssammenslutning kan lokalt velge å ha fellestillitsvalgt, jf. Hovedavtalen del B </w:t>
      </w:r>
      <w:hyperlink r:id="rId15" w:tooltip="Hovedavtalen 01.01.2014-31.12.2015, Del B Kommuner og fylkeskommuner, herunder kommunale og fylkes kommunale foretak, jf. kommuneloven kap. 11, § 3 - Arbeidsgivers og tillitsvalgtes gjensidige rettigheter og plikter, § 3-3 - Tillitsvalgtordning, herunder " w:history="1">
        <w:r w:rsidRPr="00EA04C6">
          <w:rPr>
            <w:rStyle w:val="Hyperkobling"/>
            <w:rFonts w:asciiTheme="minorHAnsi" w:hAnsiTheme="minorHAnsi" w:cstheme="minorHAnsi"/>
            <w:sz w:val="22"/>
            <w:szCs w:val="22"/>
          </w:rPr>
          <w:t>§ 3-3</w:t>
        </w:r>
      </w:hyperlink>
      <w:r w:rsidRPr="00EA04C6">
        <w:rPr>
          <w:rFonts w:asciiTheme="minorHAnsi" w:hAnsiTheme="minorHAnsi" w:cstheme="minorHAnsi"/>
          <w:sz w:val="22"/>
          <w:szCs w:val="22"/>
        </w:rPr>
        <w:t xml:space="preserve"> c). Den felles</w:t>
      </w:r>
      <w:r w:rsidRPr="00EA04C6">
        <w:rPr>
          <w:rFonts w:asciiTheme="minorHAnsi" w:hAnsiTheme="minorHAnsi" w:cstheme="minorHAnsi"/>
          <w:sz w:val="22"/>
          <w:szCs w:val="22"/>
        </w:rPr>
        <w:softHyphen/>
        <w:t xml:space="preserve">tillitsvalgte skal i henhold til Hovedavtalen del B </w:t>
      </w:r>
      <w:hyperlink r:id="rId16" w:tooltip="Hovedavtalen 01.01.2014-31.12.2015, Del B Kommuner og fylkeskommuner, herunder kommunale og fylkes kommunale foretak, jf. kommuneloven kap. 11, § 2 - Definisjoner, § 2-4 - Fellestillitsvalgt" w:history="1">
        <w:r w:rsidRPr="00EA04C6">
          <w:rPr>
            <w:rStyle w:val="Hyperkobling"/>
            <w:rFonts w:asciiTheme="minorHAnsi" w:hAnsiTheme="minorHAnsi" w:cstheme="minorHAnsi"/>
            <w:sz w:val="22"/>
            <w:szCs w:val="22"/>
          </w:rPr>
          <w:t>§ 2-4</w:t>
        </w:r>
      </w:hyperlink>
      <w:r w:rsidRPr="00EA04C6">
        <w:rPr>
          <w:rFonts w:asciiTheme="minorHAnsi" w:hAnsiTheme="minorHAnsi" w:cstheme="minorHAnsi"/>
          <w:sz w:val="22"/>
          <w:szCs w:val="22"/>
        </w:rPr>
        <w:t xml:space="preserve"> ivareta det ansvar og de oppgaver som tilligger hovedtillitsvalgt.</w:t>
      </w:r>
    </w:p>
    <w:p w14:paraId="70E06A28" w14:textId="678C1CCE"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lastRenderedPageBreak/>
        <w:t>Dersom en forhandlingssammenslutning lokalt velger felles</w:t>
      </w:r>
      <w:r w:rsidRPr="00EA04C6">
        <w:rPr>
          <w:rFonts w:asciiTheme="minorHAnsi" w:hAnsiTheme="minorHAnsi" w:cstheme="minorHAnsi"/>
          <w:sz w:val="22"/>
          <w:szCs w:val="22"/>
        </w:rPr>
        <w:softHyphen/>
        <w:t>tillits</w:t>
      </w:r>
      <w:r w:rsidRPr="00EA04C6">
        <w:rPr>
          <w:rFonts w:asciiTheme="minorHAnsi" w:hAnsiTheme="minorHAnsi" w:cstheme="minorHAnsi"/>
          <w:sz w:val="22"/>
          <w:szCs w:val="22"/>
        </w:rPr>
        <w:softHyphen/>
        <w:t>valgt og/eller felles tillitsvalgt</w:t>
      </w:r>
      <w:r w:rsidRPr="00EA04C6">
        <w:rPr>
          <w:rFonts w:asciiTheme="minorHAnsi" w:hAnsiTheme="minorHAnsi" w:cstheme="minorHAnsi"/>
          <w:sz w:val="22"/>
          <w:szCs w:val="22"/>
        </w:rPr>
        <w:softHyphen/>
        <w:t>ordning, er det viktig for berørte parter at dette nedfelles skriftlig mellom arbeidstaker</w:t>
      </w:r>
      <w:r w:rsidRPr="00EA04C6">
        <w:rPr>
          <w:rFonts w:asciiTheme="minorHAnsi" w:hAnsiTheme="minorHAnsi" w:cstheme="minorHAnsi"/>
          <w:sz w:val="22"/>
          <w:szCs w:val="22"/>
        </w:rPr>
        <w:softHyphen/>
        <w:t>organisasjonene i forhandlingssammenslutningen og arbeids</w:t>
      </w:r>
      <w:r w:rsidRPr="00EA04C6">
        <w:rPr>
          <w:rFonts w:asciiTheme="minorHAnsi" w:hAnsiTheme="minorHAnsi" w:cstheme="minorHAnsi"/>
          <w:sz w:val="22"/>
          <w:szCs w:val="22"/>
        </w:rPr>
        <w:softHyphen/>
        <w:t>giver. Her bør det som minimum komme frem om ordningen gjelder kun fellestillitsvalgt eller en gjennomgående felles tillits</w:t>
      </w:r>
      <w:r w:rsidRPr="00EA04C6">
        <w:rPr>
          <w:rFonts w:asciiTheme="minorHAnsi" w:hAnsiTheme="minorHAnsi" w:cstheme="minorHAnsi"/>
          <w:sz w:val="22"/>
          <w:szCs w:val="22"/>
        </w:rPr>
        <w:softHyphen/>
        <w:t>valgt</w:t>
      </w:r>
      <w:r w:rsidRPr="00EA04C6">
        <w:rPr>
          <w:rFonts w:asciiTheme="minorHAnsi" w:hAnsiTheme="minorHAnsi" w:cstheme="minorHAnsi"/>
          <w:sz w:val="22"/>
          <w:szCs w:val="22"/>
        </w:rPr>
        <w:softHyphen/>
        <w:t>ordning, herunder antall tillits</w:t>
      </w:r>
      <w:r w:rsidRPr="00EA04C6">
        <w:rPr>
          <w:rFonts w:asciiTheme="minorHAnsi" w:hAnsiTheme="minorHAnsi" w:cstheme="minorHAnsi"/>
          <w:sz w:val="22"/>
          <w:szCs w:val="22"/>
        </w:rPr>
        <w:softHyphen/>
        <w:t>valgte, eventuelle frikjøps</w:t>
      </w:r>
      <w:r w:rsidRPr="00EA04C6">
        <w:rPr>
          <w:rFonts w:asciiTheme="minorHAnsi" w:hAnsiTheme="minorHAnsi" w:cstheme="minorHAnsi"/>
          <w:sz w:val="22"/>
          <w:szCs w:val="22"/>
        </w:rPr>
        <w:softHyphen/>
        <w:t>ressurser og en avklaring av den felles</w:t>
      </w:r>
      <w:r w:rsidRPr="00EA04C6">
        <w:rPr>
          <w:rFonts w:asciiTheme="minorHAnsi" w:hAnsiTheme="minorHAnsi" w:cstheme="minorHAnsi"/>
          <w:sz w:val="22"/>
          <w:szCs w:val="22"/>
        </w:rPr>
        <w:softHyphen/>
        <w:t>tillitsvalgtes fullmakter og virkeområde. Det må fr</w:t>
      </w:r>
      <w:r>
        <w:rPr>
          <w:rFonts w:asciiTheme="minorHAnsi" w:hAnsiTheme="minorHAnsi" w:cstheme="minorHAnsi"/>
          <w:sz w:val="22"/>
          <w:szCs w:val="22"/>
        </w:rPr>
        <w:t>a</w:t>
      </w:r>
      <w:r w:rsidRPr="00EA04C6">
        <w:rPr>
          <w:rFonts w:asciiTheme="minorHAnsi" w:hAnsiTheme="minorHAnsi" w:cstheme="minorHAnsi"/>
          <w:sz w:val="22"/>
          <w:szCs w:val="22"/>
        </w:rPr>
        <w:t>mgå av full</w:t>
      </w:r>
      <w:r w:rsidRPr="00EA04C6">
        <w:rPr>
          <w:rFonts w:asciiTheme="minorHAnsi" w:hAnsiTheme="minorHAnsi" w:cstheme="minorHAnsi"/>
          <w:sz w:val="22"/>
          <w:szCs w:val="22"/>
        </w:rPr>
        <w:softHyphen/>
        <w:t>makten at den gjelder Hovedavtalens medbestemmels</w:t>
      </w:r>
      <w:r w:rsidRPr="00EA04C6">
        <w:rPr>
          <w:rFonts w:asciiTheme="minorHAnsi" w:hAnsiTheme="minorHAnsi" w:cstheme="minorHAnsi"/>
          <w:sz w:val="22"/>
          <w:szCs w:val="22"/>
        </w:rPr>
        <w:softHyphen/>
        <w:t>esordninger.</w:t>
      </w:r>
    </w:p>
    <w:p w14:paraId="6C5566BB"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Det er ingen forutsetning at de organisasjonene som velger ordningen, med fellestillitsvalgt også opptrer som forhandlings</w:t>
      </w:r>
      <w:r w:rsidRPr="00EA04C6">
        <w:rPr>
          <w:rFonts w:asciiTheme="minorHAnsi" w:hAnsiTheme="minorHAnsi" w:cstheme="minorHAnsi"/>
          <w:sz w:val="22"/>
          <w:szCs w:val="22"/>
        </w:rPr>
        <w:softHyphen/>
        <w:t>sammenslutning i lokale lønnsforhandlinger. Dersom de opp</w:t>
      </w:r>
      <w:r w:rsidRPr="00EA04C6">
        <w:rPr>
          <w:rFonts w:asciiTheme="minorHAnsi" w:hAnsiTheme="minorHAnsi" w:cstheme="minorHAnsi"/>
          <w:sz w:val="22"/>
          <w:szCs w:val="22"/>
        </w:rPr>
        <w:softHyphen/>
        <w:t xml:space="preserve">trer som forhandlingssammenslutning må dette komme frem av fullmakten. </w:t>
      </w:r>
      <w:bookmarkStart w:id="8" w:name="DS2870778"/>
      <w:bookmarkEnd w:id="8"/>
    </w:p>
    <w:p w14:paraId="23530AD9" w14:textId="77777777" w:rsidR="00EA04C6" w:rsidRPr="00EA04C6" w:rsidRDefault="00EA04C6" w:rsidP="00EA04C6">
      <w:pPr>
        <w:shd w:val="clear" w:color="auto" w:fill="FFFFFF"/>
        <w:rPr>
          <w:rFonts w:asciiTheme="minorHAnsi" w:hAnsiTheme="minorHAnsi" w:cstheme="minorHAnsi"/>
          <w:b/>
          <w:bCs/>
          <w:sz w:val="22"/>
          <w:szCs w:val="22"/>
        </w:rPr>
      </w:pPr>
      <w:r w:rsidRPr="00EA04C6">
        <w:rPr>
          <w:rFonts w:asciiTheme="minorHAnsi" w:hAnsiTheme="minorHAnsi" w:cstheme="minorHAnsi"/>
          <w:b/>
          <w:bCs/>
          <w:sz w:val="22"/>
          <w:szCs w:val="22"/>
        </w:rPr>
        <w:t>Hovedavtalen del B § 3-3 k) – Tidsmessig kontorutstyr</w:t>
      </w:r>
    </w:p>
    <w:p w14:paraId="43D3E480" w14:textId="7AE4FA62" w:rsidR="00EA04C6" w:rsidRPr="00EA04C6" w:rsidRDefault="00EA04C6" w:rsidP="00EA04C6">
      <w:pPr>
        <w:shd w:val="clear" w:color="auto" w:fill="FFFFFF"/>
        <w:rPr>
          <w:rFonts w:asciiTheme="minorHAnsi" w:hAnsiTheme="minorHAnsi" w:cstheme="minorHAnsi"/>
          <w:sz w:val="22"/>
          <w:szCs w:val="22"/>
        </w:rPr>
      </w:pPr>
      <w:r w:rsidRPr="00EA04C6">
        <w:rPr>
          <w:rFonts w:asciiTheme="minorHAnsi" w:hAnsiTheme="minorHAnsi" w:cstheme="minorHAnsi"/>
          <w:sz w:val="22"/>
          <w:szCs w:val="22"/>
        </w:rPr>
        <w:t>Bestemmelsen gir hovedtillitsvalgte/fellestillitsvalgte med hel permi</w:t>
      </w:r>
      <w:r>
        <w:rPr>
          <w:rFonts w:asciiTheme="minorHAnsi" w:hAnsiTheme="minorHAnsi" w:cstheme="minorHAnsi"/>
          <w:sz w:val="22"/>
          <w:szCs w:val="22"/>
        </w:rPr>
        <w:softHyphen/>
      </w:r>
      <w:r w:rsidRPr="00EA04C6">
        <w:rPr>
          <w:rFonts w:asciiTheme="minorHAnsi" w:hAnsiTheme="minorHAnsi" w:cstheme="minorHAnsi"/>
          <w:sz w:val="22"/>
          <w:szCs w:val="22"/>
        </w:rPr>
        <w:t>sjon rett til tidsmessig kontorutstyr. Bestemmelsen åpner for skjønn, men det vil være rimelig at tillitsvalgte som omfattes av bestemm</w:t>
      </w:r>
      <w:r>
        <w:rPr>
          <w:rFonts w:asciiTheme="minorHAnsi" w:hAnsiTheme="minorHAnsi" w:cstheme="minorHAnsi"/>
          <w:sz w:val="22"/>
          <w:szCs w:val="22"/>
        </w:rPr>
        <w:softHyphen/>
      </w:r>
      <w:r w:rsidRPr="00EA04C6">
        <w:rPr>
          <w:rFonts w:asciiTheme="minorHAnsi" w:hAnsiTheme="minorHAnsi" w:cstheme="minorHAnsi"/>
          <w:sz w:val="22"/>
          <w:szCs w:val="22"/>
        </w:rPr>
        <w:t>elsen, får tilgang til samme type utstyr som arbeids</w:t>
      </w:r>
      <w:r>
        <w:rPr>
          <w:rFonts w:asciiTheme="minorHAnsi" w:hAnsiTheme="minorHAnsi" w:cstheme="minorHAnsi"/>
          <w:sz w:val="22"/>
          <w:szCs w:val="22"/>
        </w:rPr>
        <w:softHyphen/>
      </w:r>
      <w:r w:rsidRPr="00EA04C6">
        <w:rPr>
          <w:rFonts w:asciiTheme="minorHAnsi" w:hAnsiTheme="minorHAnsi" w:cstheme="minorHAnsi"/>
          <w:sz w:val="22"/>
          <w:szCs w:val="22"/>
        </w:rPr>
        <w:t>giver</w:t>
      </w:r>
      <w:r>
        <w:rPr>
          <w:rFonts w:asciiTheme="minorHAnsi" w:hAnsiTheme="minorHAnsi" w:cstheme="minorHAnsi"/>
          <w:sz w:val="22"/>
          <w:szCs w:val="22"/>
        </w:rPr>
        <w:softHyphen/>
      </w:r>
      <w:r w:rsidRPr="00EA04C6">
        <w:rPr>
          <w:rFonts w:asciiTheme="minorHAnsi" w:hAnsiTheme="minorHAnsi" w:cstheme="minorHAnsi"/>
          <w:sz w:val="22"/>
          <w:szCs w:val="22"/>
        </w:rPr>
        <w:t>represen</w:t>
      </w:r>
      <w:r>
        <w:rPr>
          <w:rFonts w:asciiTheme="minorHAnsi" w:hAnsiTheme="minorHAnsi" w:cstheme="minorHAnsi"/>
          <w:sz w:val="22"/>
          <w:szCs w:val="22"/>
        </w:rPr>
        <w:softHyphen/>
      </w:r>
      <w:r w:rsidRPr="00EA04C6">
        <w:rPr>
          <w:rFonts w:asciiTheme="minorHAnsi" w:hAnsiTheme="minorHAnsi" w:cstheme="minorHAnsi"/>
          <w:sz w:val="22"/>
          <w:szCs w:val="22"/>
        </w:rPr>
        <w:t>tantene de samarbeider med har.</w:t>
      </w:r>
    </w:p>
    <w:p w14:paraId="32F1C8C9" w14:textId="77777777" w:rsidR="00EA04C6" w:rsidRPr="00EA04C6" w:rsidRDefault="00EA04C6" w:rsidP="00EA04C6">
      <w:pPr>
        <w:shd w:val="clear" w:color="auto" w:fill="FFFFFF"/>
        <w:rPr>
          <w:rFonts w:asciiTheme="minorHAnsi" w:hAnsiTheme="minorHAnsi" w:cstheme="minorHAnsi"/>
          <w:sz w:val="22"/>
          <w:szCs w:val="22"/>
        </w:rPr>
      </w:pPr>
    </w:p>
    <w:p w14:paraId="00B08909"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b/>
          <w:sz w:val="22"/>
          <w:szCs w:val="22"/>
        </w:rPr>
        <w:t>Hovedavtalen del B §§ 3-5 og 3-6 – Permisjoner for organisasjonsverv og tillitsvalgtopplæring</w:t>
      </w:r>
    </w:p>
    <w:p w14:paraId="0F85D2B9" w14:textId="77777777" w:rsidR="00EA04C6" w:rsidRPr="00EA04C6" w:rsidRDefault="00EA04C6" w:rsidP="00EA04C6">
      <w:pPr>
        <w:shd w:val="clear" w:color="auto" w:fill="FFFFFF"/>
        <w:rPr>
          <w:rFonts w:asciiTheme="minorHAnsi" w:hAnsiTheme="minorHAnsi" w:cstheme="minorHAnsi"/>
          <w:b/>
          <w:sz w:val="22"/>
          <w:szCs w:val="22"/>
        </w:rPr>
      </w:pPr>
      <w:r w:rsidRPr="00EA04C6">
        <w:rPr>
          <w:rFonts w:asciiTheme="minorHAnsi" w:hAnsiTheme="minorHAnsi" w:cstheme="minorHAnsi"/>
          <w:sz w:val="22"/>
          <w:szCs w:val="22"/>
        </w:rPr>
        <w:t>Permisjonsrettighetene etter Hovedavtalen skal ivaretas lokalt. I tilfeller med høyt sykefravær på arbeidsplassen eller ved andre ekstraordinære situasjoner der permisjoner vil føre til vesentlig ulempe for arbeidets gang, bør permisjonene iverksettes på et tids</w:t>
      </w:r>
      <w:r w:rsidRPr="00EA04C6">
        <w:rPr>
          <w:rFonts w:asciiTheme="minorHAnsi" w:hAnsiTheme="minorHAnsi" w:cstheme="minorHAnsi"/>
          <w:sz w:val="22"/>
          <w:szCs w:val="22"/>
        </w:rPr>
        <w:softHyphen/>
        <w:t>punkt og på en måte som sikrer forsvarlig drift. Partene mener det er spesielt viktig å ta hensyn til dette på arbeids</w:t>
      </w:r>
      <w:r w:rsidRPr="00EA04C6">
        <w:rPr>
          <w:rFonts w:asciiTheme="minorHAnsi" w:hAnsiTheme="minorHAnsi" w:cstheme="minorHAnsi"/>
          <w:sz w:val="22"/>
          <w:szCs w:val="22"/>
        </w:rPr>
        <w:softHyphen/>
        <w:t>plasser med få ansatte.</w:t>
      </w:r>
    </w:p>
    <w:p w14:paraId="1BF1BC62"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bookmarkStart w:id="9" w:name="DS2870779"/>
      <w:bookmarkStart w:id="10" w:name="DS2870780"/>
      <w:bookmarkEnd w:id="9"/>
      <w:bookmarkEnd w:id="10"/>
      <w:r w:rsidRPr="00EA04C6">
        <w:rPr>
          <w:rFonts w:asciiTheme="minorHAnsi" w:hAnsiTheme="minorHAnsi" w:cstheme="minorHAnsi"/>
          <w:i/>
          <w:sz w:val="22"/>
          <w:szCs w:val="22"/>
          <w:u w:val="single"/>
        </w:rPr>
        <w:t xml:space="preserve">Andre permisjoner Hovedavtalen del B § 3-5 </w:t>
      </w:r>
      <w:r w:rsidRPr="00EA04C6">
        <w:rPr>
          <w:rFonts w:asciiTheme="minorHAnsi" w:hAnsiTheme="minorHAnsi" w:cstheme="minorHAnsi"/>
          <w:i/>
          <w:sz w:val="22"/>
          <w:szCs w:val="22"/>
          <w:u w:val="single"/>
        </w:rPr>
        <w:br/>
      </w:r>
      <w:r w:rsidRPr="00EA04C6">
        <w:rPr>
          <w:rFonts w:asciiTheme="minorHAnsi" w:hAnsiTheme="minorHAnsi" w:cstheme="minorHAnsi"/>
          <w:sz w:val="22"/>
          <w:szCs w:val="22"/>
        </w:rPr>
        <w:t xml:space="preserve">Permisjonsbestemmelsene i Hovedavtalen del B </w:t>
      </w:r>
      <w:hyperlink r:id="rId17" w:tooltip="Hovedavtalen 01.01.2014-31.12.2015, Del B Kommuner og fylkeskommuner, herunder kommunale og fylkes kommunale foretak, jf. kommuneloven kap. 11, § 3 - Arbeidsgivers og tillitsvalgtes gjensidige rettigheter og plikter, § 3-5 - Permisjon" w:history="1">
        <w:r w:rsidRPr="00EA04C6">
          <w:rPr>
            <w:rStyle w:val="Hyperkobling"/>
            <w:rFonts w:asciiTheme="minorHAnsi" w:hAnsiTheme="minorHAnsi" w:cstheme="minorHAnsi"/>
            <w:sz w:val="22"/>
            <w:szCs w:val="22"/>
          </w:rPr>
          <w:t>§ 3-5</w:t>
        </w:r>
      </w:hyperlink>
      <w:r w:rsidRPr="00EA04C6">
        <w:rPr>
          <w:rFonts w:asciiTheme="minorHAnsi" w:hAnsiTheme="minorHAnsi" w:cstheme="minorHAnsi"/>
          <w:sz w:val="22"/>
          <w:szCs w:val="22"/>
        </w:rPr>
        <w:t xml:space="preserve"> gjelder den type organisasjonsoppdrag som er angitt i bestemmelsen.</w:t>
      </w:r>
    </w:p>
    <w:p w14:paraId="23D4AAEC" w14:textId="77777777" w:rsidR="00EA04C6" w:rsidRPr="00EA04C6" w:rsidRDefault="00EA04C6" w:rsidP="00EA04C6">
      <w:pPr>
        <w:shd w:val="clear" w:color="auto" w:fill="FFFFFF"/>
        <w:spacing w:before="100" w:beforeAutospacing="1" w:after="100" w:afterAutospacing="1"/>
        <w:rPr>
          <w:rFonts w:asciiTheme="minorHAnsi" w:hAnsiTheme="minorHAnsi" w:cstheme="minorHAnsi"/>
          <w:i/>
          <w:sz w:val="22"/>
          <w:szCs w:val="22"/>
          <w:u w:val="single"/>
        </w:rPr>
      </w:pPr>
      <w:bookmarkStart w:id="11" w:name="DS2870781"/>
      <w:bookmarkEnd w:id="11"/>
      <w:r w:rsidRPr="00EA04C6">
        <w:rPr>
          <w:rFonts w:asciiTheme="minorHAnsi" w:hAnsiTheme="minorHAnsi" w:cstheme="minorHAnsi"/>
          <w:i/>
          <w:sz w:val="22"/>
          <w:szCs w:val="22"/>
          <w:u w:val="single"/>
        </w:rPr>
        <w:lastRenderedPageBreak/>
        <w:t xml:space="preserve">Om Hovedavtalen del B § 3-5 c) </w:t>
      </w:r>
      <w:r w:rsidRPr="00EA04C6">
        <w:rPr>
          <w:rFonts w:asciiTheme="minorHAnsi" w:hAnsiTheme="minorHAnsi" w:cstheme="minorHAnsi"/>
          <w:i/>
          <w:sz w:val="22"/>
          <w:szCs w:val="22"/>
          <w:u w:val="single"/>
        </w:rPr>
        <w:br/>
      </w:r>
      <w:r w:rsidRPr="00EA04C6">
        <w:rPr>
          <w:rFonts w:asciiTheme="minorHAnsi" w:hAnsiTheme="minorHAnsi" w:cstheme="minorHAnsi"/>
          <w:sz w:val="22"/>
          <w:szCs w:val="22"/>
        </w:rPr>
        <w:t>Rett til permisjon med lønn i inntil 12 arbeidsdager gjelder arbeids</w:t>
      </w:r>
      <w:r w:rsidRPr="00EA04C6">
        <w:rPr>
          <w:rFonts w:asciiTheme="minorHAnsi" w:hAnsiTheme="minorHAnsi" w:cstheme="minorHAnsi"/>
          <w:sz w:val="22"/>
          <w:szCs w:val="22"/>
        </w:rPr>
        <w:softHyphen/>
        <w:t>taker i kommunen/fylkeskommunen som er valgt som fast medlem i ett eller flere av en arbeidstakerorganisasjons styrende/</w:t>
      </w:r>
      <w:r w:rsidRPr="00EA04C6">
        <w:rPr>
          <w:rFonts w:asciiTheme="minorHAnsi" w:hAnsiTheme="minorHAnsi" w:cstheme="minorHAnsi"/>
          <w:sz w:val="22"/>
          <w:szCs w:val="22"/>
        </w:rPr>
        <w:softHyphen/>
        <w:t>øverste organ, slik disse er opplistet i bestemmelsen.</w:t>
      </w:r>
    </w:p>
    <w:p w14:paraId="30ADDB1E" w14:textId="77777777" w:rsidR="00EA04C6" w:rsidRPr="00EA04C6" w:rsidRDefault="00EA04C6" w:rsidP="00EA04C6">
      <w:pPr>
        <w:shd w:val="clear" w:color="auto" w:fill="FFFFFF"/>
        <w:spacing w:after="100" w:afterAutospacing="1"/>
        <w:rPr>
          <w:rFonts w:asciiTheme="minorHAnsi" w:hAnsiTheme="minorHAnsi" w:cstheme="minorHAnsi"/>
          <w:sz w:val="22"/>
          <w:szCs w:val="22"/>
        </w:rPr>
      </w:pPr>
      <w:r w:rsidRPr="00EA04C6">
        <w:rPr>
          <w:rFonts w:asciiTheme="minorHAnsi" w:hAnsiTheme="minorHAnsi" w:cstheme="minorHAnsi"/>
          <w:sz w:val="22"/>
          <w:szCs w:val="22"/>
        </w:rPr>
        <w:t xml:space="preserve">Lik rett til permisjon </w:t>
      </w:r>
      <w:r w:rsidRPr="00EA04C6">
        <w:rPr>
          <w:rFonts w:asciiTheme="minorHAnsi" w:hAnsiTheme="minorHAnsi" w:cstheme="minorHAnsi"/>
          <w:i/>
          <w:sz w:val="22"/>
          <w:szCs w:val="22"/>
          <w:u w:val="single"/>
        </w:rPr>
        <w:t>kan</w:t>
      </w:r>
      <w:r w:rsidRPr="00EA04C6">
        <w:rPr>
          <w:rFonts w:asciiTheme="minorHAnsi" w:hAnsiTheme="minorHAnsi" w:cstheme="minorHAnsi"/>
          <w:sz w:val="22"/>
          <w:szCs w:val="22"/>
        </w:rPr>
        <w:t xml:space="preserve"> dessuten innvilges for:</w:t>
      </w:r>
    </w:p>
    <w:tbl>
      <w:tblPr>
        <w:tblW w:w="0" w:type="auto"/>
        <w:tblCellSpacing w:w="15" w:type="dxa"/>
        <w:tblLook w:val="04A0" w:firstRow="1" w:lastRow="0" w:firstColumn="1" w:lastColumn="0" w:noHBand="0" w:noVBand="1"/>
      </w:tblPr>
      <w:tblGrid>
        <w:gridCol w:w="265"/>
        <w:gridCol w:w="66"/>
        <w:gridCol w:w="5816"/>
      </w:tblGrid>
      <w:tr w:rsidR="00EA04C6" w:rsidRPr="00EA04C6" w14:paraId="1B413941" w14:textId="77777777" w:rsidTr="00DC5988">
        <w:trPr>
          <w:tblCellSpacing w:w="15" w:type="dxa"/>
        </w:trPr>
        <w:tc>
          <w:tcPr>
            <w:tcW w:w="0" w:type="auto"/>
            <w:tcMar>
              <w:top w:w="15" w:type="dxa"/>
              <w:left w:w="15" w:type="dxa"/>
              <w:bottom w:w="15" w:type="dxa"/>
              <w:right w:w="15" w:type="dxa"/>
            </w:tcMar>
            <w:hideMark/>
          </w:tcPr>
          <w:p w14:paraId="18BBD2A6" w14:textId="77777777"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noProof/>
                <w:sz w:val="22"/>
                <w:szCs w:val="22"/>
              </w:rPr>
              <w:drawing>
                <wp:inline distT="0" distB="0" distL="0" distR="0" wp14:anchorId="0C9DC016" wp14:editId="1ADEBFD8">
                  <wp:extent cx="120650" cy="139700"/>
                  <wp:effectExtent l="0" t="0" r="0" b="0"/>
                  <wp:docPr id="2" name="Bilde 2" descr="http://nis3.kf-infoserie.no/App_Themes/WhiteOnBlu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http://nis3.kf-infoserie.no/App_Themes/WhiteOnBlue/Images/bulle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p>
        </w:tc>
        <w:tc>
          <w:tcPr>
            <w:tcW w:w="0" w:type="auto"/>
            <w:tcMar>
              <w:top w:w="15" w:type="dxa"/>
              <w:left w:w="15" w:type="dxa"/>
              <w:bottom w:w="15" w:type="dxa"/>
              <w:right w:w="15" w:type="dxa"/>
            </w:tcMar>
          </w:tcPr>
          <w:p w14:paraId="788CE3BC" w14:textId="77777777" w:rsidR="00EA04C6" w:rsidRPr="00EA04C6" w:rsidRDefault="00EA04C6" w:rsidP="00EA04C6">
            <w:pPr>
              <w:rPr>
                <w:rFonts w:asciiTheme="minorHAnsi" w:hAnsiTheme="minorHAnsi" w:cstheme="minorHAnsi"/>
                <w:sz w:val="22"/>
                <w:szCs w:val="22"/>
              </w:rPr>
            </w:pPr>
          </w:p>
        </w:tc>
        <w:tc>
          <w:tcPr>
            <w:tcW w:w="0" w:type="auto"/>
            <w:tcMar>
              <w:top w:w="15" w:type="dxa"/>
              <w:left w:w="15" w:type="dxa"/>
              <w:bottom w:w="15" w:type="dxa"/>
              <w:right w:w="15" w:type="dxa"/>
            </w:tcMar>
            <w:hideMark/>
          </w:tcPr>
          <w:p w14:paraId="5009990C" w14:textId="77777777"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sz w:val="22"/>
                <w:szCs w:val="22"/>
              </w:rPr>
              <w:t>Valgte, faste medlemmer i tilsvarende organer i en forhandlingssammenslutning.</w:t>
            </w:r>
          </w:p>
        </w:tc>
      </w:tr>
      <w:tr w:rsidR="00EA04C6" w:rsidRPr="00EA04C6" w14:paraId="3AF148BE" w14:textId="77777777" w:rsidTr="00DC5988">
        <w:trPr>
          <w:tblCellSpacing w:w="15" w:type="dxa"/>
        </w:trPr>
        <w:tc>
          <w:tcPr>
            <w:tcW w:w="0" w:type="auto"/>
            <w:tcMar>
              <w:top w:w="15" w:type="dxa"/>
              <w:left w:w="15" w:type="dxa"/>
              <w:bottom w:w="15" w:type="dxa"/>
              <w:right w:w="15" w:type="dxa"/>
            </w:tcMar>
            <w:hideMark/>
          </w:tcPr>
          <w:p w14:paraId="303E2890" w14:textId="77777777"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noProof/>
                <w:sz w:val="22"/>
                <w:szCs w:val="22"/>
              </w:rPr>
              <w:drawing>
                <wp:inline distT="0" distB="0" distL="0" distR="0" wp14:anchorId="6E728F9E" wp14:editId="3BFC8B8C">
                  <wp:extent cx="120650" cy="139700"/>
                  <wp:effectExtent l="0" t="0" r="0" b="0"/>
                  <wp:docPr id="1" name="Bilde 1" descr="http://nis3.kf-infoserie.no/App_Themes/WhiteOnBlue/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http://nis3.kf-infoserie.no/App_Themes/WhiteOnBlue/Images/bulle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p>
        </w:tc>
        <w:tc>
          <w:tcPr>
            <w:tcW w:w="0" w:type="auto"/>
            <w:tcMar>
              <w:top w:w="15" w:type="dxa"/>
              <w:left w:w="15" w:type="dxa"/>
              <w:bottom w:w="15" w:type="dxa"/>
              <w:right w:w="15" w:type="dxa"/>
            </w:tcMar>
          </w:tcPr>
          <w:p w14:paraId="5BA6EDC2" w14:textId="77777777" w:rsidR="00EA04C6" w:rsidRPr="00EA04C6" w:rsidRDefault="00EA04C6" w:rsidP="00EA04C6">
            <w:pPr>
              <w:rPr>
                <w:rFonts w:asciiTheme="minorHAnsi" w:hAnsiTheme="minorHAnsi" w:cstheme="minorHAnsi"/>
                <w:sz w:val="22"/>
                <w:szCs w:val="22"/>
              </w:rPr>
            </w:pPr>
          </w:p>
        </w:tc>
        <w:tc>
          <w:tcPr>
            <w:tcW w:w="0" w:type="auto"/>
            <w:tcMar>
              <w:top w:w="15" w:type="dxa"/>
              <w:left w:w="15" w:type="dxa"/>
              <w:bottom w:w="15" w:type="dxa"/>
              <w:right w:w="15" w:type="dxa"/>
            </w:tcMar>
            <w:hideMark/>
          </w:tcPr>
          <w:p w14:paraId="2DFC1653" w14:textId="77777777"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sz w:val="22"/>
                <w:szCs w:val="22"/>
              </w:rPr>
              <w:t>Valgte, faste medlemmer i tilsvarende organer i yrkes</w:t>
            </w:r>
            <w:r w:rsidRPr="00EA04C6">
              <w:rPr>
                <w:rFonts w:asciiTheme="minorHAnsi" w:hAnsiTheme="minorHAnsi" w:cstheme="minorHAnsi"/>
                <w:sz w:val="22"/>
                <w:szCs w:val="22"/>
              </w:rPr>
              <w:softHyphen/>
              <w:t>organisasjoner organisert som juridiske enheter eller lands</w:t>
            </w:r>
            <w:r w:rsidRPr="00EA04C6">
              <w:rPr>
                <w:rFonts w:asciiTheme="minorHAnsi" w:hAnsiTheme="minorHAnsi" w:cstheme="minorHAnsi"/>
                <w:sz w:val="22"/>
                <w:szCs w:val="22"/>
              </w:rPr>
              <w:softHyphen/>
              <w:t>foreninger/landsråd/yrkesfaglige seksjoner med minst 500 medlemmer. Dette gjelder fortsatt blant annet organisasjon</w:t>
            </w:r>
            <w:r w:rsidRPr="00EA04C6">
              <w:rPr>
                <w:rFonts w:asciiTheme="minorHAnsi" w:hAnsiTheme="minorHAnsi" w:cstheme="minorHAnsi"/>
                <w:sz w:val="22"/>
                <w:szCs w:val="22"/>
              </w:rPr>
              <w:softHyphen/>
              <w:t>enes yrkesfaglige seksjoner, for eksempel Utdanningsfor</w:t>
            </w:r>
            <w:r w:rsidRPr="00EA04C6">
              <w:rPr>
                <w:rFonts w:asciiTheme="minorHAnsi" w:hAnsiTheme="minorHAnsi" w:cstheme="minorHAnsi"/>
                <w:sz w:val="22"/>
                <w:szCs w:val="22"/>
              </w:rPr>
              <w:softHyphen/>
              <w:t xml:space="preserve">bundets kontaktforum. </w:t>
            </w:r>
          </w:p>
        </w:tc>
      </w:tr>
    </w:tbl>
    <w:p w14:paraId="55806BA7"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Arbeidsgiver kan innvilge ulønnet permisjon dersom organisasjons</w:t>
      </w:r>
      <w:r w:rsidRPr="00EA04C6">
        <w:rPr>
          <w:rFonts w:asciiTheme="minorHAnsi" w:hAnsiTheme="minorHAnsi" w:cstheme="minorHAnsi"/>
          <w:sz w:val="22"/>
          <w:szCs w:val="22"/>
        </w:rPr>
        <w:softHyphen/>
        <w:t>verv beskrevet i Hovedavtalen del B § 3-5 c) første ledd innebærer ytterligere fravær enn 12 dager pr. år.</w:t>
      </w:r>
    </w:p>
    <w:p w14:paraId="3AAEBC36" w14:textId="20841EAA" w:rsidR="00EA04C6" w:rsidRPr="00EA04C6" w:rsidRDefault="00EA04C6" w:rsidP="00EA04C6">
      <w:pPr>
        <w:shd w:val="clear" w:color="auto" w:fill="FFFFFF"/>
        <w:spacing w:before="100" w:beforeAutospacing="1" w:after="100" w:afterAutospacing="1"/>
        <w:rPr>
          <w:rFonts w:asciiTheme="minorHAnsi" w:hAnsiTheme="minorHAnsi" w:cstheme="minorHAnsi"/>
          <w:i/>
          <w:sz w:val="22"/>
          <w:szCs w:val="22"/>
          <w:u w:val="single"/>
        </w:rPr>
      </w:pPr>
      <w:bookmarkStart w:id="12" w:name="DS2870782"/>
      <w:bookmarkEnd w:id="12"/>
      <w:r w:rsidRPr="00EA04C6">
        <w:rPr>
          <w:rFonts w:asciiTheme="minorHAnsi" w:hAnsiTheme="minorHAnsi" w:cstheme="minorHAnsi"/>
          <w:i/>
          <w:sz w:val="22"/>
          <w:szCs w:val="22"/>
          <w:u w:val="single"/>
        </w:rPr>
        <w:t xml:space="preserve">Om Hovedavtalen del B § 3-5 d) </w:t>
      </w:r>
      <w:r w:rsidRPr="00EA04C6">
        <w:rPr>
          <w:rFonts w:asciiTheme="minorHAnsi" w:hAnsiTheme="minorHAnsi" w:cstheme="minorHAnsi"/>
          <w:i/>
          <w:sz w:val="22"/>
          <w:szCs w:val="22"/>
          <w:u w:val="single"/>
        </w:rPr>
        <w:br/>
      </w:r>
      <w:r w:rsidRPr="00EA04C6">
        <w:rPr>
          <w:rFonts w:asciiTheme="minorHAnsi" w:hAnsiTheme="minorHAnsi" w:cstheme="minorHAnsi"/>
          <w:sz w:val="22"/>
          <w:szCs w:val="22"/>
        </w:rPr>
        <w:t>Arbeidstaker har rett til permisjon uten lønn for å overta tillitsverv på hel- eller deltid i arbeidstakerorganisasjonen/</w:t>
      </w:r>
      <w:r w:rsidRPr="00EA04C6">
        <w:rPr>
          <w:rFonts w:asciiTheme="minorHAnsi" w:hAnsiTheme="minorHAnsi" w:cstheme="minorHAnsi"/>
          <w:sz w:val="22"/>
          <w:szCs w:val="22"/>
        </w:rPr>
        <w:softHyphen/>
        <w:t>forhandlings</w:t>
      </w:r>
      <w:r w:rsidR="003040C1">
        <w:rPr>
          <w:rFonts w:asciiTheme="minorHAnsi" w:hAnsiTheme="minorHAnsi" w:cstheme="minorHAnsi"/>
          <w:sz w:val="22"/>
          <w:szCs w:val="22"/>
        </w:rPr>
        <w:softHyphen/>
      </w:r>
      <w:r w:rsidRPr="00EA04C6">
        <w:rPr>
          <w:rFonts w:asciiTheme="minorHAnsi" w:hAnsiTheme="minorHAnsi" w:cstheme="minorHAnsi"/>
          <w:sz w:val="22"/>
          <w:szCs w:val="22"/>
        </w:rPr>
        <w:t>sammen</w:t>
      </w:r>
      <w:r w:rsidRPr="00EA04C6">
        <w:rPr>
          <w:rFonts w:asciiTheme="minorHAnsi" w:hAnsiTheme="minorHAnsi" w:cstheme="minorHAnsi"/>
          <w:sz w:val="22"/>
          <w:szCs w:val="22"/>
        </w:rPr>
        <w:softHyphen/>
        <w:t>slutningen vedkommende er medlem av.</w:t>
      </w:r>
    </w:p>
    <w:p w14:paraId="5C773596"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 xml:space="preserve">Ved delvis ulønnede permisjoner kan det inngås avtale lokalt mellom kommunen og arbeidstakerorganisasjonen om at kommunen foretar utbetaling av </w:t>
      </w:r>
      <w:proofErr w:type="gramStart"/>
      <w:r w:rsidRPr="00EA04C6">
        <w:rPr>
          <w:rFonts w:asciiTheme="minorHAnsi" w:hAnsiTheme="minorHAnsi" w:cstheme="minorHAnsi"/>
          <w:sz w:val="22"/>
          <w:szCs w:val="22"/>
        </w:rPr>
        <w:t>lønn  og</w:t>
      </w:r>
      <w:proofErr w:type="gramEnd"/>
      <w:r w:rsidRPr="00EA04C6">
        <w:rPr>
          <w:rFonts w:asciiTheme="minorHAnsi" w:hAnsiTheme="minorHAnsi" w:cstheme="minorHAnsi"/>
          <w:sz w:val="22"/>
          <w:szCs w:val="22"/>
        </w:rPr>
        <w:t xml:space="preserve"> alle innbetalinger til pensjonskasse m.m. mot refusjon fra arbeidstaker</w:t>
      </w:r>
      <w:r w:rsidRPr="00EA04C6">
        <w:rPr>
          <w:rFonts w:asciiTheme="minorHAnsi" w:hAnsiTheme="minorHAnsi" w:cstheme="minorHAnsi"/>
          <w:sz w:val="22"/>
          <w:szCs w:val="22"/>
        </w:rPr>
        <w:softHyphen/>
        <w:t>organisasjonen. Etter de sentrale parters oppfatning er det hensiktsmessig å gjøre det på denne måten.</w:t>
      </w:r>
    </w:p>
    <w:p w14:paraId="644FB0C1"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bookmarkStart w:id="13" w:name="DS2870783"/>
      <w:bookmarkEnd w:id="13"/>
      <w:r w:rsidRPr="00EA04C6">
        <w:rPr>
          <w:rFonts w:asciiTheme="minorHAnsi" w:hAnsiTheme="minorHAnsi" w:cstheme="minorHAnsi"/>
          <w:i/>
          <w:sz w:val="22"/>
          <w:szCs w:val="22"/>
          <w:u w:val="single"/>
        </w:rPr>
        <w:t xml:space="preserve">Tillitsvalgtopplæring Hovedavtalen del B § 3-6 </w:t>
      </w:r>
      <w:r w:rsidRPr="00EA04C6">
        <w:rPr>
          <w:rFonts w:asciiTheme="minorHAnsi" w:hAnsiTheme="minorHAnsi" w:cstheme="minorHAnsi"/>
          <w:i/>
          <w:sz w:val="22"/>
          <w:szCs w:val="22"/>
          <w:u w:val="single"/>
        </w:rPr>
        <w:br/>
      </w:r>
      <w:r w:rsidRPr="00EA04C6">
        <w:rPr>
          <w:rFonts w:asciiTheme="minorHAnsi" w:hAnsiTheme="minorHAnsi" w:cstheme="minorHAnsi"/>
          <w:sz w:val="22"/>
          <w:szCs w:val="22"/>
        </w:rPr>
        <w:t>Partene skal sammen og hver for seg sørge for jevnlig opp</w:t>
      </w:r>
      <w:r w:rsidRPr="00EA04C6">
        <w:rPr>
          <w:rFonts w:asciiTheme="minorHAnsi" w:hAnsiTheme="minorHAnsi" w:cstheme="minorHAnsi"/>
          <w:sz w:val="22"/>
          <w:szCs w:val="22"/>
        </w:rPr>
        <w:softHyphen/>
        <w:t>følging og opplæring av sine ledere og tillitsvalgte. Permisjons</w:t>
      </w:r>
      <w:r w:rsidRPr="00EA04C6">
        <w:rPr>
          <w:rFonts w:asciiTheme="minorHAnsi" w:hAnsiTheme="minorHAnsi" w:cstheme="minorHAnsi"/>
          <w:sz w:val="22"/>
          <w:szCs w:val="22"/>
        </w:rPr>
        <w:softHyphen/>
        <w:t xml:space="preserve">bestemmelsene for tillitsvalgtopplæring følger av Hovedavtalen del B </w:t>
      </w:r>
      <w:hyperlink r:id="rId19" w:tooltip="Hovedavtalen 01.01.2014-31.12.2015, Del B Kommuner og fylkeskommuner, herunder kommunale og fylkes kommunale foretak, jf. kommuneloven kap. 11, § 3 - Arbeidsgivers og tillitsvalgtes gjensidige rettigheter og plikter, § 3-6 - Tillitsvalgtopplæring" w:history="1">
        <w:r w:rsidRPr="00EA04C6">
          <w:rPr>
            <w:rStyle w:val="Hyperkobling"/>
            <w:rFonts w:asciiTheme="minorHAnsi" w:hAnsiTheme="minorHAnsi" w:cstheme="minorHAnsi"/>
            <w:sz w:val="22"/>
            <w:szCs w:val="22"/>
          </w:rPr>
          <w:t>§ 3-6</w:t>
        </w:r>
      </w:hyperlink>
      <w:r w:rsidRPr="00EA04C6">
        <w:rPr>
          <w:rFonts w:asciiTheme="minorHAnsi" w:hAnsiTheme="minorHAnsi" w:cstheme="minorHAnsi"/>
          <w:sz w:val="22"/>
          <w:szCs w:val="22"/>
        </w:rPr>
        <w:t xml:space="preserve">, og </w:t>
      </w:r>
      <w:r w:rsidRPr="00EA04C6">
        <w:rPr>
          <w:rFonts w:asciiTheme="minorHAnsi" w:hAnsiTheme="minorHAnsi" w:cstheme="minorHAnsi"/>
          <w:sz w:val="22"/>
          <w:szCs w:val="22"/>
        </w:rPr>
        <w:lastRenderedPageBreak/>
        <w:t>gjelder for tillits</w:t>
      </w:r>
      <w:r w:rsidRPr="00EA04C6">
        <w:rPr>
          <w:rFonts w:asciiTheme="minorHAnsi" w:hAnsiTheme="minorHAnsi" w:cstheme="minorHAnsi"/>
          <w:sz w:val="22"/>
          <w:szCs w:val="22"/>
        </w:rPr>
        <w:softHyphen/>
        <w:t>valgte i henhold til definisjonene i Hovedavtalen del B §§ </w:t>
      </w:r>
      <w:hyperlink r:id="rId20" w:tooltip="Hovedavtalen 01.01.2014-31.12.2015, Del B Kommuner og fylkeskommuner, herunder kommunale og fylkes kommunale foretak, jf. kommuneloven kap. 11, § 2 - Definisjoner, § 2-2 - Tillitsvalgt" w:history="1">
        <w:r w:rsidRPr="00EA04C6">
          <w:rPr>
            <w:rStyle w:val="Hyperkobling"/>
            <w:rFonts w:asciiTheme="minorHAnsi" w:hAnsiTheme="minorHAnsi" w:cstheme="minorHAnsi"/>
            <w:sz w:val="22"/>
            <w:szCs w:val="22"/>
          </w:rPr>
          <w:t>2-2</w:t>
        </w:r>
      </w:hyperlink>
      <w:r w:rsidRPr="00EA04C6">
        <w:rPr>
          <w:rFonts w:asciiTheme="minorHAnsi" w:hAnsiTheme="minorHAnsi" w:cstheme="minorHAnsi"/>
          <w:sz w:val="22"/>
          <w:szCs w:val="22"/>
        </w:rPr>
        <w:t xml:space="preserve">, </w:t>
      </w:r>
      <w:hyperlink r:id="rId21" w:tooltip="Hovedavtalen 01.01.2014-31.12.2015, Del B Kommuner og fylkeskommuner, herunder kommunale og fylkes kommunale foretak, jf. kommuneloven kap. 11, § 2 - Definisjoner, § 2-3 - Hovedtillitsvalgt" w:history="1">
        <w:r w:rsidRPr="00EA04C6">
          <w:rPr>
            <w:rStyle w:val="Hyperkobling"/>
            <w:rFonts w:asciiTheme="minorHAnsi" w:hAnsiTheme="minorHAnsi" w:cstheme="minorHAnsi"/>
            <w:sz w:val="22"/>
            <w:szCs w:val="22"/>
          </w:rPr>
          <w:t>2-3</w:t>
        </w:r>
      </w:hyperlink>
      <w:r w:rsidRPr="00EA04C6">
        <w:rPr>
          <w:rFonts w:asciiTheme="minorHAnsi" w:hAnsiTheme="minorHAnsi" w:cstheme="minorHAnsi"/>
          <w:sz w:val="22"/>
          <w:szCs w:val="22"/>
        </w:rPr>
        <w:t xml:space="preserve"> og </w:t>
      </w:r>
      <w:hyperlink r:id="rId22" w:tooltip="Hovedavtalen 01.01.2014-31.12.2015, Del B Kommuner og fylkeskommuner, herunder kommunale og fylkes kommunale foretak, jf. kommuneloven kap. 11, § 2 - Definisjoner, § 2-4 - Fellestillitsvalgt" w:history="1">
        <w:r w:rsidRPr="00EA04C6">
          <w:rPr>
            <w:rStyle w:val="Hyperkobling"/>
            <w:rFonts w:asciiTheme="minorHAnsi" w:hAnsiTheme="minorHAnsi" w:cstheme="minorHAnsi"/>
            <w:sz w:val="22"/>
            <w:szCs w:val="22"/>
          </w:rPr>
          <w:t>2-4</w:t>
        </w:r>
      </w:hyperlink>
      <w:r w:rsidRPr="00EA04C6">
        <w:rPr>
          <w:rFonts w:asciiTheme="minorHAnsi" w:hAnsiTheme="minorHAnsi" w:cstheme="minorHAnsi"/>
          <w:sz w:val="22"/>
          <w:szCs w:val="22"/>
        </w:rPr>
        <w:t xml:space="preserve">. </w:t>
      </w:r>
    </w:p>
    <w:p w14:paraId="603CC037" w14:textId="77777777" w:rsidR="00EA04C6" w:rsidRPr="00EA04C6" w:rsidRDefault="00EA04C6" w:rsidP="00EA04C6">
      <w:pPr>
        <w:shd w:val="clear" w:color="auto" w:fill="FFFFFF"/>
        <w:spacing w:before="100" w:beforeAutospacing="1" w:after="100" w:afterAutospacing="1"/>
        <w:rPr>
          <w:rFonts w:asciiTheme="minorHAnsi" w:hAnsiTheme="minorHAnsi" w:cstheme="minorHAnsi"/>
          <w:i/>
          <w:sz w:val="22"/>
          <w:szCs w:val="22"/>
          <w:u w:val="single"/>
        </w:rPr>
      </w:pPr>
      <w:r w:rsidRPr="00EA04C6">
        <w:rPr>
          <w:rFonts w:asciiTheme="minorHAnsi" w:hAnsiTheme="minorHAnsi" w:cstheme="minorHAnsi"/>
          <w:sz w:val="22"/>
          <w:szCs w:val="22"/>
        </w:rPr>
        <w:t>Tillitsvalgte har rett til opp</w:t>
      </w:r>
      <w:r w:rsidRPr="00EA04C6">
        <w:rPr>
          <w:rFonts w:asciiTheme="minorHAnsi" w:hAnsiTheme="minorHAnsi" w:cstheme="minorHAnsi"/>
          <w:sz w:val="22"/>
          <w:szCs w:val="22"/>
        </w:rPr>
        <w:softHyphen/>
        <w:t>læring i temaer av betydning for deres funksjon som tillitsvalgt. Arbeids</w:t>
      </w:r>
      <w:r w:rsidRPr="00EA04C6">
        <w:rPr>
          <w:rFonts w:asciiTheme="minorHAnsi" w:hAnsiTheme="minorHAnsi" w:cstheme="minorHAnsi"/>
          <w:sz w:val="22"/>
          <w:szCs w:val="22"/>
        </w:rPr>
        <w:softHyphen/>
        <w:t>giver skal legge forholdene til rette, og tillitsvalgte bør derfor ha en dialog med leder/</w:t>
      </w:r>
      <w:r w:rsidRPr="00EA04C6">
        <w:rPr>
          <w:rFonts w:asciiTheme="minorHAnsi" w:hAnsiTheme="minorHAnsi" w:cstheme="minorHAnsi"/>
          <w:sz w:val="22"/>
          <w:szCs w:val="22"/>
        </w:rPr>
        <w:softHyphen/>
        <w:t>arbeidsgiver om dette. Tillitsvalgte skal, så langt det er mulig, være tidlig ute med permisjons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søknader slik at fraværet kan planlegges og volde minst mulig ulempe for arbeidets gang. Søknader dokumenteres med kursinnkalling/</w:t>
      </w:r>
      <w:r w:rsidRPr="00EA04C6">
        <w:rPr>
          <w:rFonts w:asciiTheme="minorHAnsi" w:hAnsiTheme="minorHAnsi" w:cstheme="minorHAnsi"/>
          <w:sz w:val="22"/>
          <w:szCs w:val="22"/>
        </w:rPr>
        <w:softHyphen/>
        <w:t xml:space="preserve">invitasjon og program. </w:t>
      </w:r>
    </w:p>
    <w:p w14:paraId="15A6F199" w14:textId="359EAE59" w:rsidR="00EA04C6" w:rsidRPr="00EA04C6" w:rsidRDefault="00EA04C6" w:rsidP="00EA04C6">
      <w:pPr>
        <w:rPr>
          <w:rFonts w:asciiTheme="minorHAnsi" w:hAnsiTheme="minorHAnsi" w:cstheme="minorHAnsi"/>
          <w:sz w:val="22"/>
          <w:szCs w:val="22"/>
        </w:rPr>
      </w:pPr>
      <w:r w:rsidRPr="00EA04C6">
        <w:rPr>
          <w:rFonts w:asciiTheme="minorHAnsi" w:hAnsiTheme="minorHAnsi" w:cstheme="minorHAnsi"/>
          <w:sz w:val="22"/>
          <w:szCs w:val="22"/>
        </w:rPr>
        <w:t>Permisjoner for tillitsvalgtopplæring etter Hovedavtalen del B § 3-6 skal inn</w:t>
      </w:r>
      <w:r w:rsidRPr="00EA04C6">
        <w:rPr>
          <w:rFonts w:asciiTheme="minorHAnsi" w:hAnsiTheme="minorHAnsi" w:cstheme="minorHAnsi"/>
          <w:sz w:val="22"/>
          <w:szCs w:val="22"/>
        </w:rPr>
        <w:softHyphen/>
        <w:t>vilges med hel eller delvis lønn. Hovedtillitsvalgte innvilges permi</w:t>
      </w:r>
      <w:r w:rsidRPr="00EA04C6">
        <w:rPr>
          <w:rFonts w:asciiTheme="minorHAnsi" w:hAnsiTheme="minorHAnsi" w:cstheme="minorHAnsi"/>
          <w:sz w:val="22"/>
          <w:szCs w:val="22"/>
        </w:rPr>
        <w:softHyphen/>
        <w:t>sjon med full lønn. Partene er enige om at det som hoved</w:t>
      </w:r>
      <w:r w:rsidRPr="00EA04C6">
        <w:rPr>
          <w:rFonts w:asciiTheme="minorHAnsi" w:hAnsiTheme="minorHAnsi" w:cstheme="minorHAnsi"/>
          <w:sz w:val="22"/>
          <w:szCs w:val="22"/>
        </w:rPr>
        <w:softHyphen/>
        <w:t>regel også for øvrige tillitsvalgte innvilges permisjon med full lønn for opp</w:t>
      </w:r>
      <w:r w:rsidRPr="00EA04C6">
        <w:rPr>
          <w:rFonts w:asciiTheme="minorHAnsi" w:hAnsiTheme="minorHAnsi" w:cstheme="minorHAnsi"/>
          <w:sz w:val="22"/>
          <w:szCs w:val="22"/>
        </w:rPr>
        <w:softHyphen/>
        <w:t>læring i Hovedavtalen, Hovedtariff</w:t>
      </w:r>
      <w:r w:rsidRPr="00EA04C6">
        <w:rPr>
          <w:rFonts w:asciiTheme="minorHAnsi" w:hAnsiTheme="minorHAnsi" w:cstheme="minorHAnsi"/>
          <w:sz w:val="22"/>
          <w:szCs w:val="22"/>
        </w:rPr>
        <w:softHyphen/>
        <w:t>avtalen, og tilknyttede særavtaler og lovbestemmelser jf. protokollen pkt. 4. Med tilknyttede lov</w:t>
      </w:r>
      <w:r w:rsidRPr="00EA04C6">
        <w:rPr>
          <w:rFonts w:asciiTheme="minorHAnsi" w:hAnsiTheme="minorHAnsi" w:cstheme="minorHAnsi"/>
          <w:sz w:val="22"/>
          <w:szCs w:val="22"/>
        </w:rPr>
        <w:softHyphen/>
        <w:t>bestemm</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elser menes bestemmelser som henger sammen med tariffbestemmelsene i vårt avtaleverk. </w:t>
      </w:r>
    </w:p>
    <w:p w14:paraId="408F3879" w14:textId="77777777"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Hovedavtalen i seg selv har ingen bestemmelser om godtgjøring eller lignende for tillitsvalgtopplæring som faller på tillitsvalgtes fritid.</w:t>
      </w:r>
    </w:p>
    <w:p w14:paraId="51765525" w14:textId="4524F382"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rPr>
      </w:pPr>
      <w:r w:rsidRPr="00EA04C6">
        <w:rPr>
          <w:rFonts w:asciiTheme="minorHAnsi" w:hAnsiTheme="minorHAnsi" w:cstheme="minorHAnsi"/>
          <w:b/>
          <w:sz w:val="22"/>
          <w:szCs w:val="22"/>
        </w:rPr>
        <w:t xml:space="preserve">Hovedavtalen del B § 4 - Partssammensatt utvalg </w:t>
      </w:r>
      <w:r w:rsidRPr="00EA04C6">
        <w:rPr>
          <w:rFonts w:asciiTheme="minorHAnsi" w:hAnsiTheme="minorHAnsi" w:cstheme="minorHAnsi"/>
          <w:b/>
          <w:sz w:val="22"/>
          <w:szCs w:val="22"/>
        </w:rPr>
        <w:br/>
      </w:r>
      <w:r w:rsidRPr="00EA04C6">
        <w:rPr>
          <w:rFonts w:asciiTheme="minorHAnsi" w:hAnsiTheme="minorHAnsi" w:cstheme="minorHAnsi"/>
          <w:sz w:val="22"/>
          <w:szCs w:val="22"/>
        </w:rPr>
        <w:t xml:space="preserve">Partssamarbeidet i kommuner/fylkeskommuner ivaretas også gjennom bestemmelsen om partssammensatt utvalg i del B </w:t>
      </w:r>
      <w:hyperlink r:id="rId23" w:tooltip="Hovedavtalen 01.01.2014-31.12.2015, Del B Kommuner og fylkeskommuner, herunder kommunale og fylkes kommunale foretak, jf. kommuneloven kap. 11, § 4 - Partssammensatte utvalg" w:history="1">
        <w:r w:rsidRPr="00EA04C6">
          <w:rPr>
            <w:rStyle w:val="Hyperkobling"/>
            <w:rFonts w:asciiTheme="minorHAnsi" w:hAnsiTheme="minorHAnsi" w:cstheme="minorHAnsi"/>
            <w:sz w:val="22"/>
            <w:szCs w:val="22"/>
          </w:rPr>
          <w:t>§ 4</w:t>
        </w:r>
      </w:hyperlink>
      <w:r w:rsidRPr="00EA04C6">
        <w:rPr>
          <w:rFonts w:asciiTheme="minorHAnsi" w:hAnsiTheme="minorHAnsi" w:cstheme="minorHAnsi"/>
          <w:sz w:val="22"/>
          <w:szCs w:val="22"/>
        </w:rPr>
        <w:t>. Ansattrepresentantene i utvalget representerer alle ansatte, selv om de er utpekt/valgt av egen fagorganisasjon. Se Hovedavtale</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veiled</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eren for mere informasjon. </w:t>
      </w:r>
    </w:p>
    <w:p w14:paraId="43AD4874" w14:textId="0961AAAE"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I tillegg til de faste ansattrepresentantene i partssammensatt utvalg har forhandlings</w:t>
      </w:r>
      <w:r w:rsidRPr="00EA04C6">
        <w:rPr>
          <w:rFonts w:asciiTheme="minorHAnsi" w:hAnsiTheme="minorHAnsi" w:cstheme="minorHAnsi"/>
          <w:sz w:val="22"/>
          <w:szCs w:val="22"/>
        </w:rPr>
        <w:softHyphen/>
        <w:t>sammen</w:t>
      </w:r>
      <w:r w:rsidRPr="00EA04C6">
        <w:rPr>
          <w:rFonts w:asciiTheme="minorHAnsi" w:hAnsiTheme="minorHAnsi" w:cstheme="minorHAnsi"/>
          <w:sz w:val="22"/>
          <w:szCs w:val="22"/>
        </w:rPr>
        <w:softHyphen/>
        <w:t>slutninger lokalt, som ikke er representert i utvalget, anledning til å delta med en fast observatør. Det er sammen</w:t>
      </w:r>
      <w:r w:rsidR="003B3D07">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slutningen selv som må meddele behovet for observatør</w:t>
      </w:r>
      <w:r w:rsidRPr="00EA04C6">
        <w:rPr>
          <w:rFonts w:asciiTheme="minorHAnsi" w:hAnsiTheme="minorHAnsi" w:cstheme="minorHAnsi"/>
          <w:sz w:val="22"/>
          <w:szCs w:val="22"/>
        </w:rPr>
        <w:softHyphen/>
        <w:t>plass. Observatøren(e) har ikke stemmerett.</w:t>
      </w:r>
      <w:bookmarkStart w:id="14" w:name="DS2870784"/>
      <w:bookmarkStart w:id="15" w:name="DS2870785"/>
      <w:bookmarkEnd w:id="14"/>
      <w:bookmarkEnd w:id="15"/>
    </w:p>
    <w:p w14:paraId="69C16613" w14:textId="555BE519" w:rsidR="00EA04C6" w:rsidRPr="00EA04C6" w:rsidRDefault="00EA04C6" w:rsidP="00EA04C6">
      <w:pPr>
        <w:shd w:val="clear" w:color="auto" w:fill="FFFFFF"/>
        <w:spacing w:before="100" w:beforeAutospacing="1" w:after="100" w:afterAutospacing="1"/>
        <w:rPr>
          <w:rFonts w:asciiTheme="minorHAnsi" w:hAnsiTheme="minorHAnsi" w:cstheme="minorHAnsi"/>
          <w:b/>
          <w:sz w:val="22"/>
          <w:szCs w:val="22"/>
          <w:u w:val="single"/>
        </w:rPr>
      </w:pPr>
      <w:r w:rsidRPr="00EA04C6">
        <w:rPr>
          <w:rFonts w:asciiTheme="minorHAnsi" w:hAnsiTheme="minorHAnsi" w:cstheme="minorHAnsi"/>
          <w:b/>
          <w:sz w:val="22"/>
          <w:szCs w:val="22"/>
        </w:rPr>
        <w:lastRenderedPageBreak/>
        <w:t>Forhandlinger etter Hovedtariffavtalens kapittel 3, 4 og 5</w:t>
      </w:r>
      <w:r w:rsidRPr="00EA04C6">
        <w:rPr>
          <w:rFonts w:asciiTheme="minorHAnsi" w:hAnsiTheme="minorHAnsi" w:cstheme="minorHAnsi"/>
          <w:b/>
          <w:sz w:val="22"/>
          <w:szCs w:val="22"/>
          <w:u w:val="single"/>
        </w:rPr>
        <w:br/>
      </w:r>
      <w:r w:rsidRPr="00EA04C6">
        <w:rPr>
          <w:rFonts w:asciiTheme="minorHAnsi" w:hAnsiTheme="minorHAnsi" w:cstheme="minorHAnsi"/>
          <w:sz w:val="22"/>
          <w:szCs w:val="22"/>
        </w:rPr>
        <w:t>De lokale parter har en gjensidig plikt, etter skriftlig krav, å gjennom</w:t>
      </w:r>
      <w:r w:rsidRPr="00EA04C6">
        <w:rPr>
          <w:rFonts w:asciiTheme="minorHAnsi" w:hAnsiTheme="minorHAnsi" w:cstheme="minorHAnsi"/>
          <w:sz w:val="22"/>
          <w:szCs w:val="22"/>
        </w:rPr>
        <w:softHyphen/>
        <w:t>føre lokale lønnsforhandlinger hjemlet i Hovedtariffavtalen, jf. Hoved</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tariffavtalen kap. 3, pkt. </w:t>
      </w:r>
      <w:hyperlink r:id="rId24" w:tooltip="UTGÅTT - Hovedtariffavtalen 01.05.2008-30.04.2010, Kapittel 3 - Generelle lønns- og stillingsbestemmelser, 3.2 - Lokal lønnspolitikk, 3.2.4 - Rett og plikt til forhandlinger" w:history="1">
        <w:r w:rsidRPr="00EA04C6">
          <w:rPr>
            <w:rStyle w:val="Hyperkobling"/>
            <w:rFonts w:asciiTheme="minorHAnsi" w:hAnsiTheme="minorHAnsi" w:cstheme="minorHAnsi"/>
            <w:sz w:val="22"/>
            <w:szCs w:val="22"/>
          </w:rPr>
          <w:t>3.2.4</w:t>
        </w:r>
      </w:hyperlink>
      <w:r w:rsidRPr="00EA04C6">
        <w:rPr>
          <w:rFonts w:asciiTheme="minorHAnsi" w:hAnsiTheme="minorHAnsi" w:cstheme="minorHAnsi"/>
          <w:sz w:val="22"/>
          <w:szCs w:val="22"/>
        </w:rPr>
        <w:t>. Slike lønnsforhandlinger skal skje mellom lokale parter hvor henholdsvis kommunen/fylkes</w:t>
      </w:r>
      <w:r w:rsidR="003040C1">
        <w:rPr>
          <w:rFonts w:asciiTheme="minorHAnsi" w:hAnsiTheme="minorHAnsi" w:cstheme="minorHAnsi"/>
          <w:sz w:val="22"/>
          <w:szCs w:val="22"/>
        </w:rPr>
        <w:softHyphen/>
      </w:r>
      <w:r w:rsidRPr="00EA04C6">
        <w:rPr>
          <w:rFonts w:asciiTheme="minorHAnsi" w:hAnsiTheme="minorHAnsi" w:cstheme="minorHAnsi"/>
          <w:sz w:val="22"/>
          <w:szCs w:val="22"/>
        </w:rPr>
        <w:t>kommunen/</w:t>
      </w:r>
      <w:r w:rsidR="003040C1">
        <w:rPr>
          <w:rFonts w:asciiTheme="minorHAnsi" w:hAnsiTheme="minorHAnsi" w:cstheme="minorHAnsi"/>
          <w:sz w:val="22"/>
          <w:szCs w:val="22"/>
        </w:rPr>
        <w:softHyphen/>
      </w:r>
      <w:r w:rsidRPr="00EA04C6">
        <w:rPr>
          <w:rFonts w:asciiTheme="minorHAnsi" w:hAnsiTheme="minorHAnsi" w:cstheme="minorHAnsi"/>
          <w:sz w:val="22"/>
          <w:szCs w:val="22"/>
        </w:rPr>
        <w:t>bedriften og den enkelte arbeids</w:t>
      </w:r>
      <w:r w:rsidRPr="00EA04C6">
        <w:rPr>
          <w:rFonts w:asciiTheme="minorHAnsi" w:hAnsiTheme="minorHAnsi" w:cstheme="minorHAnsi"/>
          <w:sz w:val="22"/>
          <w:szCs w:val="22"/>
        </w:rPr>
        <w:softHyphen/>
        <w:t>takerorganisasjons (eller forhandlings</w:t>
      </w:r>
      <w:r w:rsidRPr="00EA04C6">
        <w:rPr>
          <w:rFonts w:asciiTheme="minorHAnsi" w:hAnsiTheme="minorHAnsi" w:cstheme="minorHAnsi"/>
          <w:sz w:val="22"/>
          <w:szCs w:val="22"/>
        </w:rPr>
        <w:softHyphen/>
        <w:t>sammen</w:t>
      </w:r>
      <w:r w:rsidRPr="00EA04C6">
        <w:rPr>
          <w:rFonts w:asciiTheme="minorHAnsi" w:hAnsiTheme="minorHAnsi" w:cstheme="minorHAnsi"/>
          <w:sz w:val="22"/>
          <w:szCs w:val="22"/>
        </w:rPr>
        <w:softHyphen/>
        <w:t>slutnings) lokale ledd ivaretar parts</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forholdet, jf. Hovedavtalen del A </w:t>
      </w:r>
      <w:hyperlink r:id="rId25" w:tooltip="Hovedavtalen 01.01.2014-31.12.2015, Del A Forhandlingsordningen, § 4 - Forhandlingsrett/-plikt, § 4-7 - Forhandlinger etter Hovedtariffavtalens kapittel 3, 4 og 5" w:history="1">
        <w:r w:rsidRPr="00EA04C6">
          <w:rPr>
            <w:rStyle w:val="Hyperkobling"/>
            <w:rFonts w:asciiTheme="minorHAnsi" w:hAnsiTheme="minorHAnsi" w:cstheme="minorHAnsi"/>
            <w:sz w:val="22"/>
            <w:szCs w:val="22"/>
          </w:rPr>
          <w:t>§ 4-7</w:t>
        </w:r>
      </w:hyperlink>
      <w:r w:rsidRPr="00EA04C6">
        <w:rPr>
          <w:rFonts w:asciiTheme="minorHAnsi" w:hAnsiTheme="minorHAnsi" w:cstheme="minorHAnsi"/>
          <w:sz w:val="22"/>
          <w:szCs w:val="22"/>
        </w:rPr>
        <w:t>.</w:t>
      </w:r>
    </w:p>
    <w:p w14:paraId="3B75E23C" w14:textId="555B16EA"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Ved deltakelse i, og nødvendige forberedelser til lokale lønns</w:t>
      </w:r>
      <w:r w:rsidRPr="00EA04C6">
        <w:rPr>
          <w:rFonts w:asciiTheme="minorHAnsi" w:hAnsiTheme="minorHAnsi" w:cstheme="minorHAnsi"/>
          <w:sz w:val="22"/>
          <w:szCs w:val="22"/>
        </w:rPr>
        <w:softHyphen/>
        <w:t>for</w:t>
      </w:r>
      <w:r w:rsidRPr="00EA04C6">
        <w:rPr>
          <w:rFonts w:asciiTheme="minorHAnsi" w:hAnsiTheme="minorHAnsi" w:cstheme="minorHAnsi"/>
          <w:sz w:val="22"/>
          <w:szCs w:val="22"/>
        </w:rPr>
        <w:softHyphen/>
        <w:t xml:space="preserve">handlinger, innvilges permisjon med lønn, jf. Hovedavtalen del B </w:t>
      </w:r>
      <w:hyperlink r:id="rId26" w:tooltip="Hovedavtalen 01.01.2014-31.12.2015, Del B Kommuner og fylkeskommuner, herunder kommunale og fylkes kommunale foretak, jf. kommuneloven kap. 11, § 3 - Arbeidsgivers og tillitsvalgtes gjensidige rettigheter og plikter, § 3-5 - Permisjon" w:history="1">
        <w:r w:rsidRPr="00EA04C6">
          <w:rPr>
            <w:rStyle w:val="Hyperkobling"/>
            <w:rFonts w:asciiTheme="minorHAnsi" w:hAnsiTheme="minorHAnsi" w:cstheme="minorHAnsi"/>
            <w:sz w:val="22"/>
            <w:szCs w:val="22"/>
          </w:rPr>
          <w:t>§ 3-5</w:t>
        </w:r>
      </w:hyperlink>
      <w:r w:rsidRPr="00EA04C6">
        <w:rPr>
          <w:rFonts w:asciiTheme="minorHAnsi" w:hAnsiTheme="minorHAnsi" w:cstheme="minorHAnsi"/>
          <w:sz w:val="22"/>
          <w:szCs w:val="22"/>
        </w:rPr>
        <w:t xml:space="preserve"> a). En vurdering av "nødvendige forberedelser" vil blant annet bero på forhandlingenes omfang og karakter, og i hvilket omfang arbeids</w:t>
      </w:r>
      <w:r w:rsidRPr="00EA04C6">
        <w:rPr>
          <w:rFonts w:asciiTheme="minorHAnsi" w:hAnsiTheme="minorHAnsi" w:cstheme="minorHAnsi"/>
          <w:sz w:val="22"/>
          <w:szCs w:val="22"/>
        </w:rPr>
        <w:softHyphen/>
        <w:t>takerorganisasjonens medlemmer er omfattet av for</w:t>
      </w:r>
      <w:r w:rsidR="003040C1">
        <w:rPr>
          <w:rFonts w:asciiTheme="minorHAnsi" w:hAnsiTheme="minorHAnsi" w:cstheme="minorHAnsi"/>
          <w:sz w:val="22"/>
          <w:szCs w:val="22"/>
        </w:rPr>
        <w:softHyphen/>
      </w:r>
      <w:r w:rsidRPr="00EA04C6">
        <w:rPr>
          <w:rFonts w:asciiTheme="minorHAnsi" w:hAnsiTheme="minorHAnsi" w:cstheme="minorHAnsi"/>
          <w:sz w:val="22"/>
          <w:szCs w:val="22"/>
        </w:rPr>
        <w:t>hand</w:t>
      </w:r>
      <w:r w:rsidR="003040C1">
        <w:rPr>
          <w:rFonts w:asciiTheme="minorHAnsi" w:hAnsiTheme="minorHAnsi" w:cstheme="minorHAnsi"/>
          <w:sz w:val="22"/>
          <w:szCs w:val="22"/>
        </w:rPr>
        <w:softHyphen/>
      </w:r>
      <w:r w:rsidRPr="00EA04C6">
        <w:rPr>
          <w:rFonts w:asciiTheme="minorHAnsi" w:hAnsiTheme="minorHAnsi" w:cstheme="minorHAnsi"/>
          <w:sz w:val="22"/>
          <w:szCs w:val="22"/>
        </w:rPr>
        <w:t>lingene.</w:t>
      </w:r>
    </w:p>
    <w:p w14:paraId="3474F0E3" w14:textId="6D3F57CA" w:rsidR="00EA04C6" w:rsidRPr="00EA04C6" w:rsidRDefault="00EA04C6" w:rsidP="00EA04C6">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 xml:space="preserve">Avklaring av delegasjonens størrelse og sammensetning gjøres lokalt. Det er god forhandlingsskikk at partene i </w:t>
      </w:r>
      <w:proofErr w:type="spellStart"/>
      <w:r w:rsidRPr="00EA04C6">
        <w:rPr>
          <w:rFonts w:asciiTheme="minorHAnsi" w:hAnsiTheme="minorHAnsi" w:cstheme="minorHAnsi"/>
          <w:sz w:val="22"/>
          <w:szCs w:val="22"/>
        </w:rPr>
        <w:t>lønnspolitisk</w:t>
      </w:r>
      <w:proofErr w:type="spellEnd"/>
      <w:r w:rsidRPr="00EA04C6">
        <w:rPr>
          <w:rFonts w:asciiTheme="minorHAnsi" w:hAnsiTheme="minorHAnsi" w:cstheme="minorHAnsi"/>
          <w:sz w:val="22"/>
          <w:szCs w:val="22"/>
        </w:rPr>
        <w:t xml:space="preserve"> drøftings</w:t>
      </w:r>
      <w:r w:rsidR="003040C1">
        <w:rPr>
          <w:rFonts w:asciiTheme="minorHAnsi" w:hAnsiTheme="minorHAnsi" w:cstheme="minorHAnsi"/>
          <w:sz w:val="22"/>
          <w:szCs w:val="22"/>
        </w:rPr>
        <w:softHyphen/>
      </w:r>
      <w:r w:rsidRPr="00EA04C6">
        <w:rPr>
          <w:rFonts w:asciiTheme="minorHAnsi" w:hAnsiTheme="minorHAnsi" w:cstheme="minorHAnsi"/>
          <w:sz w:val="22"/>
          <w:szCs w:val="22"/>
        </w:rPr>
        <w:t xml:space="preserve">møte (Hovedtariffavtalen </w:t>
      </w:r>
      <w:hyperlink r:id="rId27" w:tooltip="UTGÅTT - Hovedtariffavtalen 01.05.2008-30.04.2010, Vedlegg 3 - Retningslinjer for lokale forhandlinger - God forhandlingsskikk" w:history="1">
        <w:r w:rsidRPr="00EA04C6">
          <w:rPr>
            <w:rStyle w:val="Hyperkobling"/>
            <w:rFonts w:asciiTheme="minorHAnsi" w:hAnsiTheme="minorHAnsi" w:cstheme="minorHAnsi"/>
            <w:sz w:val="22"/>
            <w:szCs w:val="22"/>
          </w:rPr>
          <w:t>vedlegg 3</w:t>
        </w:r>
      </w:hyperlink>
      <w:r w:rsidRPr="00EA04C6">
        <w:rPr>
          <w:rFonts w:asciiTheme="minorHAnsi" w:hAnsiTheme="minorHAnsi" w:cstheme="minorHAnsi"/>
          <w:sz w:val="22"/>
          <w:szCs w:val="22"/>
        </w:rPr>
        <w:t>) gir gjensidig infor</w:t>
      </w:r>
      <w:r w:rsidR="003040C1">
        <w:rPr>
          <w:rFonts w:asciiTheme="minorHAnsi" w:hAnsiTheme="minorHAnsi" w:cstheme="minorHAnsi"/>
          <w:sz w:val="22"/>
          <w:szCs w:val="22"/>
        </w:rPr>
        <w:softHyphen/>
      </w:r>
      <w:r w:rsidRPr="00EA04C6">
        <w:rPr>
          <w:rFonts w:asciiTheme="minorHAnsi" w:hAnsiTheme="minorHAnsi" w:cstheme="minorHAnsi"/>
          <w:sz w:val="22"/>
          <w:szCs w:val="22"/>
        </w:rPr>
        <w:t>masjon om for</w:t>
      </w:r>
      <w:r w:rsidRPr="00EA04C6">
        <w:rPr>
          <w:rFonts w:asciiTheme="minorHAnsi" w:hAnsiTheme="minorHAnsi" w:cstheme="minorHAnsi"/>
          <w:sz w:val="22"/>
          <w:szCs w:val="22"/>
        </w:rPr>
        <w:softHyphen/>
        <w:t>handlingsdelegasjonenes størrelse og sammen</w:t>
      </w:r>
      <w:r w:rsidR="003040C1">
        <w:rPr>
          <w:rFonts w:asciiTheme="minorHAnsi" w:hAnsiTheme="minorHAnsi" w:cstheme="minorHAnsi"/>
          <w:sz w:val="22"/>
          <w:szCs w:val="22"/>
        </w:rPr>
        <w:softHyphen/>
      </w:r>
      <w:r w:rsidRPr="00EA04C6">
        <w:rPr>
          <w:rFonts w:asciiTheme="minorHAnsi" w:hAnsiTheme="minorHAnsi" w:cstheme="minorHAnsi"/>
          <w:sz w:val="22"/>
          <w:szCs w:val="22"/>
        </w:rPr>
        <w:t>setning. I slike drøftings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møter innkalles alle forhandlings</w:t>
      </w:r>
      <w:r w:rsidR="003040C1">
        <w:rPr>
          <w:rFonts w:asciiTheme="minorHAnsi" w:hAnsiTheme="minorHAnsi" w:cstheme="minorHAnsi"/>
          <w:sz w:val="22"/>
          <w:szCs w:val="22"/>
        </w:rPr>
        <w:softHyphen/>
      </w:r>
      <w:r w:rsidRPr="00EA04C6">
        <w:rPr>
          <w:rFonts w:asciiTheme="minorHAnsi" w:hAnsiTheme="minorHAnsi" w:cstheme="minorHAnsi"/>
          <w:sz w:val="22"/>
          <w:szCs w:val="22"/>
        </w:rPr>
        <w:t>berettigede organisasjoner.</w:t>
      </w:r>
    </w:p>
    <w:p w14:paraId="04E879F4" w14:textId="15129B57" w:rsidR="00EA04C6" w:rsidRDefault="00EA04C6" w:rsidP="003040C1">
      <w:pPr>
        <w:shd w:val="clear" w:color="auto" w:fill="FFFFFF"/>
        <w:spacing w:before="100" w:beforeAutospacing="1" w:after="100" w:afterAutospacing="1"/>
        <w:rPr>
          <w:rFonts w:asciiTheme="minorHAnsi" w:hAnsiTheme="minorHAnsi" w:cstheme="minorHAnsi"/>
          <w:sz w:val="22"/>
          <w:szCs w:val="22"/>
        </w:rPr>
      </w:pPr>
      <w:r w:rsidRPr="00EA04C6">
        <w:rPr>
          <w:rFonts w:asciiTheme="minorHAnsi" w:hAnsiTheme="minorHAnsi" w:cstheme="minorHAnsi"/>
          <w:sz w:val="22"/>
          <w:szCs w:val="22"/>
        </w:rPr>
        <w:t>Dersom en arbeidstakerorganisasjon kun har ett medlem på for</w:t>
      </w:r>
      <w:r w:rsidRPr="00EA04C6">
        <w:rPr>
          <w:rFonts w:asciiTheme="minorHAnsi" w:hAnsiTheme="minorHAnsi" w:cstheme="minorHAnsi"/>
          <w:sz w:val="22"/>
          <w:szCs w:val="22"/>
        </w:rPr>
        <w:softHyphen/>
        <w:t>handlings</w:t>
      </w:r>
      <w:r w:rsidRPr="00EA04C6">
        <w:rPr>
          <w:rFonts w:asciiTheme="minorHAnsi" w:hAnsiTheme="minorHAnsi" w:cstheme="minorHAnsi"/>
          <w:sz w:val="22"/>
          <w:szCs w:val="22"/>
        </w:rPr>
        <w:softHyphen/>
      </w:r>
      <w:r w:rsidRPr="00EA04C6">
        <w:rPr>
          <w:rFonts w:asciiTheme="minorHAnsi" w:hAnsiTheme="minorHAnsi" w:cstheme="minorHAnsi"/>
          <w:sz w:val="22"/>
          <w:szCs w:val="22"/>
        </w:rPr>
        <w:softHyphen/>
        <w:t xml:space="preserve">stedet, utelukker dette ikke </w:t>
      </w:r>
      <w:proofErr w:type="spellStart"/>
      <w:r w:rsidRPr="00EA04C6">
        <w:rPr>
          <w:rFonts w:asciiTheme="minorHAnsi" w:hAnsiTheme="minorHAnsi" w:cstheme="minorHAnsi"/>
          <w:sz w:val="22"/>
          <w:szCs w:val="22"/>
        </w:rPr>
        <w:t>vedkommendes</w:t>
      </w:r>
      <w:proofErr w:type="spellEnd"/>
      <w:r w:rsidRPr="00EA04C6">
        <w:rPr>
          <w:rFonts w:asciiTheme="minorHAnsi" w:hAnsiTheme="minorHAnsi" w:cstheme="minorHAnsi"/>
          <w:sz w:val="22"/>
          <w:szCs w:val="22"/>
        </w:rPr>
        <w:t xml:space="preserve"> adgang til å la seg representere i lokale lønnsforhandlinger. I slike tilfeller kan organisasjonene i forhandlings</w:t>
      </w:r>
      <w:r w:rsidRPr="00EA04C6">
        <w:rPr>
          <w:rFonts w:asciiTheme="minorHAnsi" w:hAnsiTheme="minorHAnsi" w:cstheme="minorHAnsi"/>
          <w:sz w:val="22"/>
          <w:szCs w:val="22"/>
        </w:rPr>
        <w:softHyphen/>
        <w:t>sammen</w:t>
      </w:r>
      <w:r w:rsidRPr="00EA04C6">
        <w:rPr>
          <w:rFonts w:asciiTheme="minorHAnsi" w:hAnsiTheme="minorHAnsi" w:cstheme="minorHAnsi"/>
          <w:sz w:val="22"/>
          <w:szCs w:val="22"/>
        </w:rPr>
        <w:softHyphen/>
        <w:t xml:space="preserve">slutningen drøfte muligheten for å ivareta enkeltmedlemmers interesser. Dersom det ikke lar seg løse, har vedkommende organisasjon et ansvar for å foreslå en løsning som også arbeidsgiver kan akseptere. Fullmakter klargjøres for arbeidsgiver skriftlig før forhandlingene. </w:t>
      </w:r>
    </w:p>
    <w:p w14:paraId="4FAA0410" w14:textId="77777777" w:rsidR="003040C1" w:rsidRDefault="003040C1" w:rsidP="003040C1">
      <w:pPr>
        <w:shd w:val="clear" w:color="auto" w:fill="FFFFFF"/>
        <w:rPr>
          <w:rFonts w:asciiTheme="minorHAnsi" w:hAnsiTheme="minorHAnsi" w:cstheme="minorHAnsi"/>
          <w:sz w:val="22"/>
          <w:szCs w:val="22"/>
        </w:rPr>
      </w:pPr>
    </w:p>
    <w:p w14:paraId="05DE1EF8" w14:textId="272EF642" w:rsidR="003040C1" w:rsidRDefault="003040C1" w:rsidP="003040C1">
      <w:pPr>
        <w:shd w:val="clear" w:color="auto" w:fill="FFFFFF"/>
        <w:rPr>
          <w:rFonts w:asciiTheme="minorHAnsi" w:hAnsiTheme="minorHAnsi" w:cstheme="minorHAnsi"/>
          <w:sz w:val="22"/>
          <w:szCs w:val="22"/>
        </w:rPr>
      </w:pPr>
      <w:r>
        <w:rPr>
          <w:rFonts w:asciiTheme="minorHAnsi" w:hAnsiTheme="minorHAnsi" w:cstheme="minorHAnsi"/>
          <w:sz w:val="22"/>
          <w:szCs w:val="22"/>
        </w:rPr>
        <w:t>Hege Mygland</w:t>
      </w:r>
    </w:p>
    <w:p w14:paraId="1954E308" w14:textId="445985B6" w:rsidR="003040C1" w:rsidRDefault="003040C1" w:rsidP="003040C1">
      <w:pPr>
        <w:shd w:val="clear" w:color="auto" w:fill="FFFFFF"/>
        <w:rPr>
          <w:rFonts w:asciiTheme="minorHAnsi" w:hAnsiTheme="minorHAnsi" w:cstheme="minorHAnsi"/>
          <w:sz w:val="22"/>
          <w:szCs w:val="22"/>
        </w:rPr>
      </w:pPr>
      <w:r>
        <w:rPr>
          <w:rFonts w:asciiTheme="minorHAnsi" w:hAnsiTheme="minorHAnsi" w:cstheme="minorHAnsi"/>
          <w:sz w:val="22"/>
          <w:szCs w:val="22"/>
        </w:rPr>
        <w:t>avdelingsdirektør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Karsten K. Langfeldt</w:t>
      </w:r>
    </w:p>
    <w:p w14:paraId="5130297C" w14:textId="2050A608" w:rsidR="003040C1" w:rsidRDefault="003040C1" w:rsidP="003040C1">
      <w:pPr>
        <w:shd w:val="clear" w:color="auto" w:fill="FFFFFF"/>
        <w:spacing w:after="100" w:afterAutospacing="1"/>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spesialrådgiver</w:t>
      </w:r>
      <w:r>
        <w:rPr>
          <w:rFonts w:asciiTheme="minorHAnsi" w:hAnsiTheme="minorHAnsi" w:cstheme="minorHAnsi"/>
          <w:sz w:val="22"/>
          <w:szCs w:val="22"/>
        </w:rPr>
        <w:tab/>
      </w:r>
    </w:p>
    <w:p w14:paraId="33CB1C84" w14:textId="77777777" w:rsidR="003040C1" w:rsidRDefault="003040C1" w:rsidP="003040C1">
      <w:pPr>
        <w:shd w:val="clear" w:color="auto" w:fill="FFFFFF"/>
        <w:spacing w:after="100" w:afterAutospacing="1"/>
        <w:rPr>
          <w:rFonts w:asciiTheme="minorHAnsi" w:hAnsiTheme="minorHAnsi" w:cstheme="minorHAnsi"/>
          <w:sz w:val="22"/>
          <w:szCs w:val="22"/>
        </w:rPr>
      </w:pPr>
    </w:p>
    <w:p w14:paraId="5A12C6CF" w14:textId="77777777" w:rsidR="003040C1" w:rsidRPr="003040C1" w:rsidRDefault="003040C1" w:rsidP="003040C1">
      <w:pPr>
        <w:shd w:val="clear" w:color="auto" w:fill="FFFFFF"/>
        <w:spacing w:before="100" w:beforeAutospacing="1" w:after="100" w:afterAutospacing="1"/>
        <w:rPr>
          <w:rFonts w:asciiTheme="minorHAnsi" w:hAnsiTheme="minorHAnsi" w:cstheme="minorHAnsi"/>
          <w:sz w:val="22"/>
          <w:szCs w:val="22"/>
        </w:rPr>
      </w:pPr>
    </w:p>
    <w:p w14:paraId="659B29C1" w14:textId="77777777" w:rsidR="00EA04C6" w:rsidRDefault="00EA04C6" w:rsidP="00EA04C6"/>
    <w:p w14:paraId="66C70003" w14:textId="77777777" w:rsidR="000723B6" w:rsidRPr="004B1245" w:rsidRDefault="000723B6" w:rsidP="00B00EC1">
      <w:pPr>
        <w:pStyle w:val="Bobletekst"/>
        <w:rPr>
          <w:rFonts w:asciiTheme="minorHAnsi" w:hAnsiTheme="minorHAnsi" w:cstheme="minorHAnsi"/>
          <w:sz w:val="24"/>
          <w:szCs w:val="24"/>
        </w:rPr>
      </w:pPr>
    </w:p>
    <w:sectPr w:rsidR="000723B6" w:rsidRPr="004B1245">
      <w:headerReference w:type="default" r:id="rId28"/>
      <w:footerReference w:type="default" r:id="rId29"/>
      <w:pgSz w:w="11907" w:h="16840" w:code="9"/>
      <w:pgMar w:top="3119" w:right="2880" w:bottom="3317" w:left="2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0584" w14:textId="77777777" w:rsidR="005648DE" w:rsidRDefault="005648DE">
      <w:r>
        <w:separator/>
      </w:r>
    </w:p>
  </w:endnote>
  <w:endnote w:type="continuationSeparator" w:id="0">
    <w:p w14:paraId="386FC369" w14:textId="77777777" w:rsidR="005648DE" w:rsidRDefault="0056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19980"/>
      <w:docPartObj>
        <w:docPartGallery w:val="Page Numbers (Bottom of Page)"/>
        <w:docPartUnique/>
      </w:docPartObj>
    </w:sdtPr>
    <w:sdtEndPr/>
    <w:sdtContent>
      <w:p w14:paraId="711A50B1" w14:textId="77777777" w:rsidR="00D24F7E" w:rsidRDefault="00D24F7E">
        <w:pPr>
          <w:pStyle w:val="Bunntekst"/>
          <w:jc w:val="center"/>
        </w:pPr>
        <w:r>
          <w:fldChar w:fldCharType="begin"/>
        </w:r>
        <w:r>
          <w:instrText>PAGE   \* MERGEFORMAT</w:instrText>
        </w:r>
        <w:r>
          <w:fldChar w:fldCharType="separate"/>
        </w:r>
        <w:r>
          <w:rPr>
            <w:noProof/>
          </w:rPr>
          <w:t>1</w:t>
        </w:r>
        <w:r>
          <w:fldChar w:fldCharType="end"/>
        </w:r>
      </w:p>
    </w:sdtContent>
  </w:sdt>
  <w:p w14:paraId="19968B6B" w14:textId="77777777" w:rsidR="00E44343" w:rsidRDefault="00E443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E6460" w14:textId="77777777" w:rsidR="005648DE" w:rsidRDefault="005648DE">
      <w:r>
        <w:separator/>
      </w:r>
    </w:p>
  </w:footnote>
  <w:footnote w:type="continuationSeparator" w:id="0">
    <w:p w14:paraId="7B2C0C7C" w14:textId="77777777" w:rsidR="005648DE" w:rsidRDefault="0056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7707" w14:textId="77777777" w:rsidR="00E44343" w:rsidRPr="00FD4FFF" w:rsidRDefault="00E44343">
    <w:pPr>
      <w:pStyle w:val="Topptekst"/>
    </w:pPr>
    <w:r w:rsidRPr="00FD4FFF">
      <w:fldChar w:fldCharType="begin"/>
    </w:r>
    <w:r w:rsidRPr="00FD4FFF">
      <w:instrText xml:space="preserve"> SET Document_Title "Title" \* MERGEFORMAT </w:instrText>
    </w:r>
    <w:r w:rsidRPr="00FD4FFF">
      <w:fldChar w:fldCharType="separate"/>
    </w:r>
    <w:bookmarkStart w:id="16" w:name="Document_Title"/>
    <w:r w:rsidRPr="00FD4FFF">
      <w:rPr>
        <w:noProof/>
      </w:rPr>
      <w:t>Title</w:t>
    </w:r>
    <w:bookmarkEnd w:id="16"/>
    <w:r w:rsidRPr="00FD4FFF">
      <w:fldChar w:fldCharType="end"/>
    </w:r>
    <w:r w:rsidRPr="00FD4FFF">
      <w:fldChar w:fldCharType="begin"/>
    </w:r>
    <w:r w:rsidRPr="00FD4FFF">
      <w:instrText xml:space="preserve"> SET classcodes_RECORD_Value "Arkivkode" \* CharFormat</w:instrText>
    </w:r>
    <w:r w:rsidRPr="00FD4FFF">
      <w:fldChar w:fldCharType="separate"/>
    </w:r>
    <w:bookmarkStart w:id="17" w:name="classcodes_RECORD_Value"/>
    <w:r w:rsidRPr="00FD4FFF">
      <w:t>Arkivkode</w:t>
    </w:r>
    <w:bookmarkEnd w:id="17"/>
    <w:r w:rsidRPr="00FD4FFF">
      <w:fldChar w:fldCharType="end"/>
    </w:r>
    <w:r w:rsidRPr="00FD4FFF">
      <w:fldChar w:fldCharType="begin"/>
    </w:r>
    <w:r w:rsidRPr="00FD4FFF">
      <w:instrText xml:space="preserve"> SET Document_codeOurRef "Saksbehandler" \* CharFormat</w:instrText>
    </w:r>
    <w:r w:rsidRPr="00FD4FFF">
      <w:fldChar w:fldCharType="separate"/>
    </w:r>
    <w:bookmarkStart w:id="18" w:name="Document_codeOurRef"/>
    <w:r w:rsidRPr="00FD4FFF">
      <w:t>Saksbehandler</w:t>
    </w:r>
    <w:bookmarkEnd w:id="18"/>
    <w:r w:rsidRPr="00FD4FFF">
      <w:fldChar w:fldCharType="end"/>
    </w:r>
    <w:r w:rsidRPr="00FD4FFF">
      <w:fldChar w:fldCharType="begin"/>
    </w:r>
    <w:r w:rsidRPr="00FD4FFF">
      <w:instrText xml:space="preserve"> SET Document_DocumentDate "Dokumentdato" \* CharFormat</w:instrText>
    </w:r>
    <w:r w:rsidRPr="00FD4FFF">
      <w:fldChar w:fldCharType="separate"/>
    </w:r>
    <w:bookmarkStart w:id="19" w:name="Document_DocumentDate"/>
    <w:r w:rsidRPr="00FD4FFF">
      <w:t>Dokumentdato</w:t>
    </w:r>
    <w:bookmarkEnd w:id="19"/>
    <w:r w:rsidRPr="00FD4FFF">
      <w:fldChar w:fldCharType="end"/>
    </w:r>
    <w:r w:rsidRPr="00FD4FFF">
      <w:fldChar w:fldCharType="begin"/>
    </w:r>
    <w:r w:rsidRPr="00FD4FFF">
      <w:instrText xml:space="preserve"> SET Document_DocumentNumber "Dokumentnr" \* CharFormat</w:instrText>
    </w:r>
    <w:r w:rsidRPr="00FD4FFF">
      <w:fldChar w:fldCharType="separate"/>
    </w:r>
    <w:bookmarkStart w:id="20" w:name="Document_DocumentNumber"/>
    <w:r w:rsidRPr="00FD4FFF">
      <w:t>Dokumentnr</w:t>
    </w:r>
    <w:bookmarkEnd w:id="20"/>
    <w:r w:rsidRPr="00FD4FFF">
      <w:fldChar w:fldCharType="end"/>
    </w:r>
    <w:r>
      <w:rPr>
        <w:noProof/>
      </w:rPr>
      <mc:AlternateContent>
        <mc:Choice Requires="wpg">
          <w:drawing>
            <wp:anchor distT="0" distB="0" distL="114300" distR="114300" simplePos="0" relativeHeight="251656192" behindDoc="0" locked="0" layoutInCell="0" allowOverlap="1" wp14:anchorId="1A2E0001" wp14:editId="71C2E29A">
              <wp:simplePos x="0" y="0"/>
              <wp:positionH relativeFrom="page">
                <wp:posOffset>6455410</wp:posOffset>
              </wp:positionH>
              <wp:positionV relativeFrom="page">
                <wp:posOffset>845820</wp:posOffset>
              </wp:positionV>
              <wp:extent cx="720090" cy="720090"/>
              <wp:effectExtent l="0" t="0" r="0" b="0"/>
              <wp:wrapNone/>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20090" cy="720090"/>
                        <a:chOff x="1728" y="5760"/>
                        <a:chExt cx="1152" cy="1152"/>
                      </a:xfrm>
                    </wpg:grpSpPr>
                    <wps:wsp>
                      <wps:cNvPr id="17" name="Line 5"/>
                      <wps:cNvCnPr/>
                      <wps:spPr bwMode="auto">
                        <a:xfrm>
                          <a:off x="1728" y="6912"/>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2880" y="5760"/>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570B7" id="Group 4" o:spid="_x0000_s1026" style="position:absolute;margin-left:508.3pt;margin-top:66.6pt;width:56.7pt;height:56.7pt;rotation:90;z-index:251656192;mso-position-horizontal-relative:page;mso-position-vertical-relative:page" coordorigin="1728,5760" coordsize="115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" o:allowincell="f">
              <v:line id="Line 5" o:spid="_x0000_s1027" style="position:absolute;visibility:visible;mso-wrap-style:square" from="1728,6912" to="257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 o:spid="_x0000_s1028" style="position:absolute;visibility:visible;mso-wrap-style:square" from="2880,5760" to="2880,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251655168" behindDoc="0" locked="0" layoutInCell="0" allowOverlap="1" wp14:anchorId="5C7C2FA5" wp14:editId="233CB6F8">
              <wp:simplePos x="0" y="0"/>
              <wp:positionH relativeFrom="page">
                <wp:posOffset>388620</wp:posOffset>
              </wp:positionH>
              <wp:positionV relativeFrom="page">
                <wp:posOffset>845820</wp:posOffset>
              </wp:positionV>
              <wp:extent cx="720090" cy="72009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1728" y="5760"/>
                        <a:chExt cx="1152" cy="1152"/>
                      </a:xfrm>
                    </wpg:grpSpPr>
                    <wps:wsp>
                      <wps:cNvPr id="14" name="Line 1"/>
                      <wps:cNvCnPr/>
                      <wps:spPr bwMode="auto">
                        <a:xfrm>
                          <a:off x="1728" y="6912"/>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
                      <wps:cNvCnPr/>
                      <wps:spPr bwMode="auto">
                        <a:xfrm>
                          <a:off x="2880" y="5760"/>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7911C" id="Group 3" o:spid="_x0000_s1026" style="position:absolute;margin-left:30.6pt;margin-top:66.6pt;width:56.7pt;height:56.7pt;z-index:251655168;mso-position-horizontal-relative:page;mso-position-vertical-relative:page" coordorigin="1728,5760" coordsize="115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" o:allowincell="f">
              <v:line id="Line 1" o:spid="_x0000_s1027" style="position:absolute;visibility:visible;mso-wrap-style:square" from="1728,6912" to="2578,6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 o:spid="_x0000_s1028" style="position:absolute;visibility:visible;mso-wrap-style:square" from="2880,5760" to="2880,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E5C05"/>
    <w:multiLevelType w:val="hybridMultilevel"/>
    <w:tmpl w:val="E37CBB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65263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1-05T09:31:26.447252+01:00&quot;,&quot;Checksum&quot;:&quot;2f1cfa8d76df218c9747f8a310ce2261&quot;,&quot;IsAccessible&quot;:false,&quot;Settings&quot;:{&quot;CreatePdfUa&quot;:1}}"/>
    <w:docVar w:name="Encrypted_CloudStatistics_StoryID" w:val="d42IlAnWNr5Yls1Gd4hy72PJRUBO7mDD8FSpVMMBTQxlyeRpJGXBTsq+/2CyU5JP"/>
  </w:docVars>
  <w:rsids>
    <w:rsidRoot w:val="00F32430"/>
    <w:rsid w:val="000102D3"/>
    <w:rsid w:val="000508B2"/>
    <w:rsid w:val="000723B6"/>
    <w:rsid w:val="000F232D"/>
    <w:rsid w:val="00143A10"/>
    <w:rsid w:val="003040C1"/>
    <w:rsid w:val="00315525"/>
    <w:rsid w:val="00367EC0"/>
    <w:rsid w:val="0039370F"/>
    <w:rsid w:val="003B3D07"/>
    <w:rsid w:val="004777DB"/>
    <w:rsid w:val="004847E6"/>
    <w:rsid w:val="004B1245"/>
    <w:rsid w:val="004C4C67"/>
    <w:rsid w:val="005648DE"/>
    <w:rsid w:val="005911BB"/>
    <w:rsid w:val="005A740D"/>
    <w:rsid w:val="005B2238"/>
    <w:rsid w:val="00620128"/>
    <w:rsid w:val="0064321F"/>
    <w:rsid w:val="006C0771"/>
    <w:rsid w:val="0070124E"/>
    <w:rsid w:val="007572DF"/>
    <w:rsid w:val="007C246B"/>
    <w:rsid w:val="007F13BC"/>
    <w:rsid w:val="00805B23"/>
    <w:rsid w:val="008C7E3A"/>
    <w:rsid w:val="0093178E"/>
    <w:rsid w:val="0098696A"/>
    <w:rsid w:val="00996F07"/>
    <w:rsid w:val="009A524E"/>
    <w:rsid w:val="00AC5993"/>
    <w:rsid w:val="00AE5E34"/>
    <w:rsid w:val="00B00EC1"/>
    <w:rsid w:val="00B92BF6"/>
    <w:rsid w:val="00C259E6"/>
    <w:rsid w:val="00C3497C"/>
    <w:rsid w:val="00D24F7E"/>
    <w:rsid w:val="00DC361F"/>
    <w:rsid w:val="00E02308"/>
    <w:rsid w:val="00E26582"/>
    <w:rsid w:val="00E44343"/>
    <w:rsid w:val="00EA04C6"/>
    <w:rsid w:val="00EF2929"/>
    <w:rsid w:val="00F05C7C"/>
    <w:rsid w:val="00F32430"/>
    <w:rsid w:val="00F97AA3"/>
    <w:rsid w:val="00FD4FFF"/>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6804A"/>
  <w15:docId w15:val="{7ADE1BF7-D890-4CFB-B0B2-C8B0E612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EC1"/>
    <w:rPr>
      <w:rFonts w:ascii="Calibri" w:hAnsi="Calibri"/>
      <w:sz w:val="18"/>
    </w:rPr>
  </w:style>
  <w:style w:type="paragraph" w:styleId="Overskrift1">
    <w:name w:val="heading 1"/>
    <w:basedOn w:val="Normal"/>
    <w:next w:val="Normal"/>
    <w:qFormat/>
    <w:pPr>
      <w:keepNext/>
      <w:spacing w:before="240" w:after="60"/>
      <w:outlineLvl w:val="0"/>
    </w:pPr>
    <w:rPr>
      <w:b/>
      <w:caps/>
      <w:kern w:val="28"/>
    </w:rPr>
  </w:style>
  <w:style w:type="paragraph" w:styleId="Overskrift2">
    <w:name w:val="heading 2"/>
    <w:basedOn w:val="Normal"/>
    <w:next w:val="Normal"/>
    <w:qFormat/>
    <w:pPr>
      <w:keepNext/>
      <w:spacing w:before="240" w:after="60"/>
      <w:outlineLvl w:val="1"/>
    </w:pPr>
    <w:rPr>
      <w:b/>
    </w:rPr>
  </w:style>
  <w:style w:type="paragraph" w:styleId="Overskrift3">
    <w:name w:val="heading 3"/>
    <w:basedOn w:val="Normal"/>
    <w:next w:val="Normal"/>
    <w:qFormat/>
    <w:pPr>
      <w:keepNext/>
      <w:spacing w:before="240" w:after="60"/>
      <w:ind w:left="709" w:hanging="709"/>
      <w:outlineLvl w:val="2"/>
    </w:pPr>
    <w:rPr>
      <w:i/>
    </w:rPr>
  </w:style>
  <w:style w:type="paragraph" w:styleId="Overskrift4">
    <w:name w:val="heading 4"/>
    <w:basedOn w:val="Normal"/>
    <w:next w:val="Normal"/>
    <w:qFormat/>
    <w:pPr>
      <w:keepNext/>
      <w:outlineLvl w:val="3"/>
    </w:pPr>
    <w:rPr>
      <w:b/>
      <w:sz w:val="24"/>
    </w:rPr>
  </w:style>
  <w:style w:type="paragraph" w:styleId="Overskrift5">
    <w:name w:val="heading 5"/>
    <w:basedOn w:val="Normal"/>
    <w:next w:val="Normal"/>
    <w:qFormat/>
    <w:pPr>
      <w:keepNext/>
      <w:outlineLvl w:val="4"/>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lank">
    <w:name w:val="Blank"/>
    <w:basedOn w:val="Normal"/>
    <w:pPr>
      <w:spacing w:after="120" w:line="120" w:lineRule="exact"/>
    </w:pPr>
  </w:style>
  <w:style w:type="paragraph" w:styleId="INNH1">
    <w:name w:val="toc 1"/>
    <w:basedOn w:val="Normal"/>
    <w:next w:val="Normal"/>
    <w:semiHidden/>
    <w:pPr>
      <w:tabs>
        <w:tab w:val="right" w:leader="dot" w:pos="7087"/>
      </w:tabs>
      <w:spacing w:before="160"/>
      <w:ind w:left="238" w:hanging="238"/>
    </w:pPr>
    <w:rPr>
      <w:rFonts w:ascii="Arial" w:hAnsi="Arial"/>
      <w:b/>
    </w:rPr>
  </w:style>
  <w:style w:type="paragraph" w:styleId="INNH3">
    <w:name w:val="toc 3"/>
    <w:basedOn w:val="Normal"/>
    <w:next w:val="Normal"/>
    <w:semiHidden/>
    <w:pPr>
      <w:tabs>
        <w:tab w:val="right" w:leader="dot" w:pos="7087"/>
      </w:tabs>
      <w:spacing w:before="60"/>
      <w:ind w:left="238"/>
    </w:pPr>
    <w:rPr>
      <w:rFonts w:ascii="Arial" w:hAnsi="Arial"/>
      <w:sz w:val="22"/>
    </w:rPr>
  </w:style>
  <w:style w:type="paragraph" w:styleId="INNH2">
    <w:name w:val="toc 2"/>
    <w:basedOn w:val="Normal"/>
    <w:next w:val="Normal"/>
    <w:semiHidden/>
    <w:pPr>
      <w:tabs>
        <w:tab w:val="right" w:leader="dot" w:pos="7087"/>
      </w:tabs>
      <w:spacing w:before="60"/>
      <w:ind w:left="238"/>
    </w:pPr>
    <w:rPr>
      <w:rFonts w:ascii="Arial" w:hAnsi="Arial"/>
      <w:sz w:val="22"/>
    </w:r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rdtekst">
    <w:name w:val="Body Text"/>
    <w:basedOn w:val="Normal"/>
  </w:style>
  <w:style w:type="paragraph" w:styleId="Bobletekst">
    <w:name w:val="Balloon Text"/>
    <w:basedOn w:val="Normal"/>
    <w:link w:val="BobletekstTegn"/>
    <w:rsid w:val="00C259E6"/>
    <w:rPr>
      <w:rFonts w:ascii="Tahoma" w:hAnsi="Tahoma" w:cs="Tahoma"/>
      <w:sz w:val="16"/>
      <w:szCs w:val="16"/>
    </w:rPr>
  </w:style>
  <w:style w:type="character" w:customStyle="1" w:styleId="BobletekstTegn">
    <w:name w:val="Bobletekst Tegn"/>
    <w:basedOn w:val="Standardskriftforavsnitt"/>
    <w:link w:val="Bobletekst"/>
    <w:rsid w:val="00C259E6"/>
    <w:rPr>
      <w:rFonts w:ascii="Tahoma" w:hAnsi="Tahoma" w:cs="Tahoma"/>
      <w:sz w:val="16"/>
      <w:szCs w:val="16"/>
    </w:rPr>
  </w:style>
  <w:style w:type="character" w:styleId="Plassholdertekst">
    <w:name w:val="Placeholder Text"/>
    <w:basedOn w:val="Standardskriftforavsnitt"/>
    <w:uiPriority w:val="99"/>
    <w:semiHidden/>
    <w:rsid w:val="00E44343"/>
    <w:rPr>
      <w:color w:val="808080"/>
    </w:rPr>
  </w:style>
  <w:style w:type="character" w:customStyle="1" w:styleId="BunntekstTegn">
    <w:name w:val="Bunntekst Tegn"/>
    <w:basedOn w:val="Standardskriftforavsnitt"/>
    <w:link w:val="Bunntekst"/>
    <w:uiPriority w:val="99"/>
    <w:rsid w:val="00D24F7E"/>
    <w:rPr>
      <w:rFonts w:ascii="Calibri" w:hAnsi="Calibri"/>
      <w:sz w:val="18"/>
    </w:rPr>
  </w:style>
  <w:style w:type="paragraph" w:styleId="Listeavsnitt">
    <w:name w:val="List Paragraph"/>
    <w:basedOn w:val="Normal"/>
    <w:uiPriority w:val="34"/>
    <w:qFormat/>
    <w:rsid w:val="00EA04C6"/>
    <w:pPr>
      <w:ind w:left="720"/>
      <w:contextualSpacing/>
    </w:pPr>
  </w:style>
  <w:style w:type="character" w:styleId="Hyperkobling">
    <w:name w:val="Hyperlink"/>
    <w:basedOn w:val="Standardskriftforavsnitt"/>
    <w:uiPriority w:val="99"/>
    <w:unhideWhenUsed/>
    <w:rsid w:val="00EA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__doPostBack('Navbar$CPHM$Doc$Sec0$Sec7$P0$ctl03$ctl00','')" TargetMode="External"/><Relationship Id="rId18" Type="http://schemas.openxmlformats.org/officeDocument/2006/relationships/image" Target="media/image2.gif"/><Relationship Id="rId26" Type="http://schemas.openxmlformats.org/officeDocument/2006/relationships/hyperlink" Target="javascript:__doPostBack('Navbar$CPHM$Doc$Sec0$Sec12$P1$ctl01$ctl00','')" TargetMode="External"/><Relationship Id="rId3" Type="http://schemas.openxmlformats.org/officeDocument/2006/relationships/styles" Target="styles.xml"/><Relationship Id="rId21" Type="http://schemas.openxmlformats.org/officeDocument/2006/relationships/hyperlink" Target="javascript:__doPostBack('Navbar$CPHM$Doc$Sec0$Sec9$Sec1$P0$ctl06$ctl00','')" TargetMode="External"/><Relationship Id="rId7" Type="http://schemas.openxmlformats.org/officeDocument/2006/relationships/endnotes" Target="endnotes.xml"/><Relationship Id="rId12" Type="http://schemas.openxmlformats.org/officeDocument/2006/relationships/hyperlink" Target="javascript:__doPostBack('Navbar$CPHM$Doc$Sec0$Sec7$P0$ctl01$ctl00','')" TargetMode="External"/><Relationship Id="rId17" Type="http://schemas.openxmlformats.org/officeDocument/2006/relationships/hyperlink" Target="javascript:__doPostBack('Navbar$CPHM$Doc$Sec0$Sec9$Sec2$P0$ctl01$ctl00','')" TargetMode="External"/><Relationship Id="rId25" Type="http://schemas.openxmlformats.org/officeDocument/2006/relationships/hyperlink" Target="javascript:__doPostBack('Navbar$CPHM$Doc$Sec0$Sec12$P0$ctl03$ctl00','')" TargetMode="External"/><Relationship Id="rId2" Type="http://schemas.openxmlformats.org/officeDocument/2006/relationships/numbering" Target="numbering.xml"/><Relationship Id="rId16" Type="http://schemas.openxmlformats.org/officeDocument/2006/relationships/hyperlink" Target="javascript:__doPostBack('Navbar$CPHM$Doc$Sec0$Sec8$P0$ctl03$ctl00','')" TargetMode="External"/><Relationship Id="rId20" Type="http://schemas.openxmlformats.org/officeDocument/2006/relationships/hyperlink" Target="javascript:__doPostBack('Navbar$CPHM$Doc$Sec0$Sec9$Sec1$P0$ctl04$ctl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Navbar$CPHM$Doc$Sec0$Sec6$P1$ctl01$ctl00','')" TargetMode="External"/><Relationship Id="rId24" Type="http://schemas.openxmlformats.org/officeDocument/2006/relationships/hyperlink" Target="javascript:__doPostBack('Navbar$CPHM$Doc$Sec0$Sec12$P0$ctl01$ctl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Navbar$CPHM$Doc$Sec0$Sec8$P0$ctl01$ctl00','')" TargetMode="External"/><Relationship Id="rId23" Type="http://schemas.openxmlformats.org/officeDocument/2006/relationships/hyperlink" Target="javascript:__doPostBack('Navbar$CPHM$Doc$Sec0$Sec10$P0$ctl01$ctl00','')" TargetMode="External"/><Relationship Id="rId28" Type="http://schemas.openxmlformats.org/officeDocument/2006/relationships/header" Target="header1.xml"/><Relationship Id="rId10" Type="http://schemas.openxmlformats.org/officeDocument/2006/relationships/hyperlink" Target="javascript:__doPostBack('Navbar$CPHM$Doc$Sec0$Sec5$P3$ctl01$ctl00','')" TargetMode="External"/><Relationship Id="rId19" Type="http://schemas.openxmlformats.org/officeDocument/2006/relationships/hyperlink" Target="javascript:__doPostBack('Navbar$CPHM$Doc$Sec0$Sec9$Sec1$P0$ctl01$ctl00','')"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javascript:__doPostBack('Navbar$CPHM$Doc$Sec0$P2$ctl07$ctl00','')" TargetMode="External"/><Relationship Id="rId14" Type="http://schemas.openxmlformats.org/officeDocument/2006/relationships/hyperlink" Target="javascript:__doPostBack('Navbar$CPHM$Doc$Sec0$Sec7$P0$ctl05$ctl00','')" TargetMode="External"/><Relationship Id="rId22" Type="http://schemas.openxmlformats.org/officeDocument/2006/relationships/hyperlink" Target="javascript:__doPostBack('Navbar$CPHM$Doc$Sec0$Sec9$Sec1$P0$ctl08$ctl00','')" TargetMode="External"/><Relationship Id="rId27" Type="http://schemas.openxmlformats.org/officeDocument/2006/relationships/hyperlink" Target="javascript:__doPostBack('Navbar$CPHM$Doc$Sec0$Sec12$P2$ctl01$ctl00','')"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ks.public360online.com/biz/v2-pbr/docprod/templates/ks_b_rundskri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26DCBA8D-955A-49CA-8836-5D94ECA6F04B}"/>
      </w:docPartPr>
      <w:docPartBody>
        <w:p w:rsidR="00100A7B" w:rsidRDefault="00100A7B">
          <w:r w:rsidRPr="00891544">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0E9A8392-E031-48E7-9B6B-0453B0EE36A3}"/>
      </w:docPartPr>
      <w:docPartBody>
        <w:p w:rsidR="003712BD" w:rsidRDefault="00100A7B">
          <w:r w:rsidRPr="00891544">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7B"/>
    <w:rsid w:val="000D791B"/>
    <w:rsid w:val="00100A7B"/>
    <w:rsid w:val="003712BD"/>
    <w:rsid w:val="00A70072"/>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7B"/>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00A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54039" gbs:entity="Document" gbs:templateDesignerVersion="3.1 F">
  <gbs:DocumentNumber gbs:loadFromGrowBusiness="OnProduce" gbs:saveInGrowBusiness="False" gbs:connected="true" gbs:recno="" gbs:entity="" gbs:datatype="string" gbs:key="10000">23/03817-21</gbs:DocumentNumber>
  <gbs:ToCase.ToClassCodes.Value gbs:loadFromGrowBusiness="OnProduce" gbs:saveInGrowBusiness="False" gbs:connected="true" gbs:recno="" gbs:entity="" gbs:datatype="string" gbs:key="10001">512</gbs:ToCase.ToClassCodes.Value>
  <gbs:DocumentDate gbs:loadFromGrowBusiness="OnProduce" gbs:saveInGrowBusiness="False" gbs:connected="true" gbs:recno="" gbs:entity="" gbs:datatype="date" gbs:key="10002">2024-01-15T00:00:00</gbs:DocumentDate>
  <gbs:OurRef.Name gbs:loadFromGrowBusiness="OnProduce" gbs:saveInGrowBusiness="False" gbs:connected="true" gbs:recno="" gbs:entity="" gbs:datatype="string" gbs:key="10003">Karsten Kragh Langfeldt</gbs:OurRef.Name>
  <gbs:Title gbs:loadFromGrowBusiness="OnProduce" gbs:saveInGrowBusiness="False" gbs:connected="true" gbs:recno="" gbs:entity="" gbs:datatype="string" gbs:key="10004">Hovedavtalen 1.1.2024 - 31.12.2025</gbs:Title>
</gbs:GrowBusinessDocument>
</file>

<file path=customXml/itemProps1.xml><?xml version="1.0" encoding="utf-8"?>
<ds:datastoreItem xmlns:ds="http://schemas.openxmlformats.org/officeDocument/2006/customXml" ds:itemID="{CF452AC6-22EA-488F-903D-FD7169E9D878}">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ks_b_rundskriv</Template>
  <TotalTime>1</TotalTime>
  <Pages>11</Pages>
  <Words>2350</Words>
  <Characters>21147</Characters>
  <Application>Microsoft Office Word</Application>
  <DocSecurity>0</DocSecurity>
  <Lines>176</Lines>
  <Paragraphs>46</Paragraphs>
  <ScaleCrop>false</ScaleCrop>
  <HeadingPairs>
    <vt:vector size="2" baseType="variant">
      <vt:variant>
        <vt:lpstr>Tittel</vt:lpstr>
      </vt:variant>
      <vt:variant>
        <vt:i4>1</vt:i4>
      </vt:variant>
    </vt:vector>
  </HeadingPairs>
  <TitlesOfParts>
    <vt:vector size="1" baseType="lpstr">
      <vt:lpstr>Hovedavtalen 1.1.2024 - 31.12.2025</vt:lpstr>
    </vt:vector>
  </TitlesOfParts>
  <Company>Kommuneforlaget AS</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Hovedavtalen 1.1.2024 - 31.12.2025</dc:title>
  <dc:creator>Karsten Kragh Langfeldt</dc:creator>
  <cp:lastModifiedBy>Nicolay Biørn-Lian</cp:lastModifiedBy>
  <cp:revision>2</cp:revision>
  <cp:lastPrinted>2001-03-14T11:58:00Z</cp:lastPrinted>
  <dcterms:created xsi:type="dcterms:W3CDTF">2024-01-15T09:17:00Z</dcterms:created>
  <dcterms:modified xsi:type="dcterms:W3CDTF">2024-01-15T09:17:00Z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c:\windows\system32\inetsrv\ks_b_rundskriv.dotx</vt:lpwstr>
  </property>
  <property fmtid="{D5CDD505-2E9C-101B-9397-08002B2CF9AE}" pid="3" name="filePathOneNote">
    <vt:lpwstr>
    </vt:lpwstr>
  </property>
  <property fmtid="{D5CDD505-2E9C-101B-9397-08002B2CF9AE}" pid="4" name="comment">
    <vt:lpwstr>Hovedavtalen 1.1.2024 - 31.12.2025</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ks.public360online.com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254039</vt:lpwstr>
  </property>
  <property fmtid="{D5CDD505-2E9C-101B-9397-08002B2CF9AE}" pid="13" name="verId">
    <vt:lpwstr>247235</vt:lpwstr>
  </property>
  <property fmtid="{D5CDD505-2E9C-101B-9397-08002B2CF9AE}" pid="14" name="templateId">
    <vt:lpwstr>200022</vt:lpwstr>
  </property>
  <property fmtid="{D5CDD505-2E9C-101B-9397-08002B2CF9AE}" pid="15" name="createdBy">
    <vt:lpwstr>Karsten Kragh Langfeldt</vt:lpwstr>
  </property>
  <property fmtid="{D5CDD505-2E9C-101B-9397-08002B2CF9AE}" pid="16" name="modifiedBy">
    <vt:lpwstr>Karsten Kragh Langfeldt</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324286</vt:lpwstr>
  </property>
  <property fmtid="{D5CDD505-2E9C-101B-9397-08002B2CF9AE}" pid="21" name="currentVerId">
    <vt:lpwstr>247235</vt:lpwstr>
  </property>
  <property fmtid="{D5CDD505-2E9C-101B-9397-08002B2CF9AE}" pid="22" name="fileName">
    <vt:lpwstr>23_03817-21 Hovedavtalen 1.1.2024 - 31.12.2025 324286_247235_0.DOCX</vt:lpwstr>
  </property>
  <property fmtid="{D5CDD505-2E9C-101B-9397-08002B2CF9AE}" pid="23" name="filePath">
    <vt:lpwstr>
    </vt:lpwstr>
  </property>
  <property fmtid="{D5CDD505-2E9C-101B-9397-08002B2CF9AE}" pid="24" name="Operation">
    <vt:lpwstr>CheckoutFile</vt:lpwstr>
  </property>
</Properties>
</file>